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3ECF" w14:textId="370B314E" w:rsidR="009E4642" w:rsidRPr="00244619" w:rsidRDefault="00084979" w:rsidP="00244619">
      <w:pPr>
        <w:pStyle w:val="Nagwek1"/>
        <w:ind w:right="-198"/>
      </w:pPr>
      <w:r w:rsidRPr="00244619">
        <w:t>Absolwenci/tki z</w:t>
      </w:r>
      <w:r w:rsidR="00244619">
        <w:t> </w:t>
      </w:r>
      <w:r w:rsidRPr="00244619">
        <w:t xml:space="preserve">niepełnosprawnościami </w:t>
      </w:r>
    </w:p>
    <w:p w14:paraId="1A0A663D" w14:textId="4E416458" w:rsidR="009E4642" w:rsidRPr="00962AE0" w:rsidRDefault="00962AE0">
      <w:pPr>
        <w:pStyle w:val="Podtytu"/>
        <w:rPr>
          <w:sz w:val="40"/>
          <w:szCs w:val="12"/>
        </w:rPr>
      </w:pPr>
      <w:r w:rsidRPr="00962AE0">
        <w:rPr>
          <w:sz w:val="40"/>
          <w:szCs w:val="12"/>
        </w:rPr>
        <w:t>Perspektywa doradczyni zawodowej</w:t>
      </w:r>
    </w:p>
    <w:p w14:paraId="1C01003D" w14:textId="4584E911" w:rsidR="009E4642" w:rsidRDefault="00962AE0" w:rsidP="00B832D7">
      <w:pPr>
        <w:jc w:val="center"/>
      </w:pPr>
      <w:r>
        <w:rPr>
          <w:noProof/>
        </w:rPr>
        <w:drawing>
          <wp:inline distT="0" distB="0" distL="0" distR="0" wp14:anchorId="16EE0A45" wp14:editId="45788EBE">
            <wp:extent cx="5274945" cy="3512820"/>
            <wp:effectExtent l="0" t="0" r="0" b="5080"/>
            <wp:docPr id="50137510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75109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05F0" w14:textId="77777777" w:rsidR="00B832D7" w:rsidRDefault="00B832D7" w:rsidP="00B832D7">
      <w:pPr>
        <w:pStyle w:val="Autor"/>
        <w:jc w:val="right"/>
      </w:pPr>
    </w:p>
    <w:p w14:paraId="6D72E1F9" w14:textId="44EFFC7C" w:rsidR="009E4642" w:rsidRPr="00816F0E" w:rsidRDefault="00962AE0" w:rsidP="009D47CA">
      <w:pPr>
        <w:pStyle w:val="Autor"/>
      </w:pPr>
      <w:r>
        <w:t>Emilia Latała-</w:t>
      </w:r>
      <w:proofErr w:type="spellStart"/>
      <w:r>
        <w:t>Cudecka</w:t>
      </w:r>
      <w:proofErr w:type="spellEnd"/>
    </w:p>
    <w:p w14:paraId="6B54080A" w14:textId="77777777" w:rsidR="009E4642" w:rsidRPr="00816F0E" w:rsidRDefault="00816F0E">
      <w:r>
        <w:br w:type="page"/>
      </w:r>
    </w:p>
    <w:sdt>
      <w:sdtPr>
        <w:rPr>
          <w:rFonts w:asciiTheme="minorHAnsi" w:eastAsiaTheme="minorHAnsi" w:hAnsiTheme="minorHAnsi" w:cstheme="minorBidi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 w:val="0"/>
          <w:bCs/>
          <w:caps w:val="0"/>
          <w:noProof/>
          <w:kern w:val="0"/>
        </w:rPr>
      </w:sdtEndPr>
      <w:sdtContent>
        <w:p w14:paraId="11C547C5" w14:textId="5EE654F7" w:rsidR="009E4642" w:rsidRPr="00244619" w:rsidRDefault="00244619" w:rsidP="00244619">
          <w:pPr>
            <w:pStyle w:val="Nagwekspisutreci"/>
            <w:rPr>
              <w:rStyle w:val="Nagwek2Znak"/>
              <w:b/>
              <w:bCs/>
            </w:rPr>
          </w:pPr>
          <w:r w:rsidRPr="00244619">
            <w:rPr>
              <w:rStyle w:val="Nagwek2Znak"/>
              <w:b/>
              <w:bCs/>
            </w:rPr>
            <w:t>SPIS TREŚCI</w:t>
          </w:r>
        </w:p>
        <w:p w14:paraId="73789E2E" w14:textId="35E26E60" w:rsidR="00962AE0" w:rsidRDefault="00816F0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 w:rsidR="00962AE0">
            <w:rPr>
              <w:noProof/>
            </w:rPr>
            <w:t>Wstęp – Pierwsze kroki na rynku pracy</w:t>
          </w:r>
          <w:r w:rsidR="00962AE0">
            <w:rPr>
              <w:noProof/>
            </w:rPr>
            <w:tab/>
          </w:r>
          <w:r w:rsidR="00962AE0">
            <w:rPr>
              <w:noProof/>
            </w:rPr>
            <w:fldChar w:fldCharType="begin"/>
          </w:r>
          <w:r w:rsidR="00962AE0">
            <w:rPr>
              <w:noProof/>
            </w:rPr>
            <w:instrText xml:space="preserve"> PAGEREF _Toc152279069 \h </w:instrText>
          </w:r>
          <w:r w:rsidR="00962AE0">
            <w:rPr>
              <w:noProof/>
            </w:rPr>
          </w:r>
          <w:r w:rsidR="00962AE0">
            <w:rPr>
              <w:noProof/>
            </w:rPr>
            <w:fldChar w:fldCharType="separate"/>
          </w:r>
          <w:r w:rsidR="009373C6">
            <w:rPr>
              <w:noProof/>
            </w:rPr>
            <w:t>1</w:t>
          </w:r>
          <w:r w:rsidR="00962AE0">
            <w:rPr>
              <w:noProof/>
            </w:rPr>
            <w:fldChar w:fldCharType="end"/>
          </w:r>
        </w:p>
        <w:p w14:paraId="75594969" w14:textId="07A92E0C" w:rsidR="00962AE0" w:rsidRDefault="00962AE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t>Czy informować pracodawców o niepełnosprawności?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_Toc152279070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73C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D624756" w14:textId="55BF65C3" w:rsidR="00962AE0" w:rsidRDefault="00962AE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t>Jak rozmawiać o niepełnosprawności?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_Toc152279071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73C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E57BABC" w14:textId="36FDC739" w:rsidR="00962AE0" w:rsidRDefault="00962AE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t>Wyboista droga do dyplomu – jak wyjaśnić pracodawcy przerwy w studiowaniu?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_Toc152279072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73C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6A387F4" w14:textId="1F7E4FF5" w:rsidR="00962AE0" w:rsidRDefault="00962AE0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 w:rsidRPr="004E3A72">
            <w:rPr>
              <w:noProof/>
              <w:lang w:val="en-US"/>
            </w:rPr>
            <w:t>Źródła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_Toc152279073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373C6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E7B3989" w14:textId="0AA36453" w:rsidR="009E4642" w:rsidRDefault="00816F0E">
          <w:pPr>
            <w:sectPr w:rsidR="009E4642" w:rsidSect="0024461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1907" w:h="16839" w:code="9"/>
              <w:pgMar w:top="2520" w:right="1134" w:bottom="1728" w:left="1800" w:header="0" w:footer="720" w:gutter="0"/>
              <w:pgNumType w:fmt="lowerRoman" w:start="1"/>
              <w:cols w:space="720"/>
              <w:titlePg/>
              <w:docGrid w:linePitch="360"/>
            </w:sectPr>
          </w:pPr>
          <w:r>
            <w:rPr>
              <w:rFonts w:asciiTheme="majorHAnsi" w:hAnsiTheme="majorHAnsi"/>
              <w:b/>
              <w:bCs/>
              <w:caps/>
              <w:color w:val="2A2A2A" w:themeColor="text2"/>
              <w:sz w:val="28"/>
            </w:rPr>
            <w:fldChar w:fldCharType="end"/>
          </w:r>
        </w:p>
      </w:sdtContent>
    </w:sdt>
    <w:p w14:paraId="485B0D04" w14:textId="4CCA0925" w:rsidR="009E4642" w:rsidRPr="00E9361F" w:rsidRDefault="00962AE0" w:rsidP="00244619">
      <w:pPr>
        <w:pStyle w:val="Nagwek2"/>
      </w:pPr>
      <w:bookmarkStart w:id="0" w:name="_Toc152279069"/>
      <w:r>
        <w:lastRenderedPageBreak/>
        <w:t>Wstęp</w:t>
      </w:r>
      <w:bookmarkEnd w:id="0"/>
    </w:p>
    <w:p w14:paraId="594C38C2" w14:textId="4DE402CD" w:rsidR="00962AE0" w:rsidRDefault="00962AE0" w:rsidP="00962AE0">
      <w:r>
        <w:t>Moment zakończenia studiów na uczelni wyższej to intensywny czas. Oprócz napięcia związanego ze zdawaniem ostatniej sesji egzaminacyjnej czy bronieniem pracy dyplomowej, pojawia się sporo obaw dotyczących dalszych losów – przede wszystkim tych, związanych z poszukiwaniem pracy. Potrzeby i obawy absolwentów i</w:t>
      </w:r>
      <w:r w:rsidR="008B68D4">
        <w:t> </w:t>
      </w:r>
      <w:r>
        <w:t>absolwentek uniwersytetu podczas stawiania pierwszych kroków na rynku pracy różnią się od siebie – szczególnie specyficzna wydaje się w tym kontekście sytuacja osób z niepełnosprawnościami i szczególnymi potrzebami. Grupy te często mierzą się z</w:t>
      </w:r>
      <w:r w:rsidR="008B68D4">
        <w:t> </w:t>
      </w:r>
      <w:r>
        <w:t>dodatkowymi obawami i spotykają na swojej drodze więcej trudności niż inni absolwenci i absolwentki studiów wyższych – warto nadmienić chociażby mniejszą dostępność ofert pracy, wyższy próg osiągnięcia niezależności finansowej (m.in. ze względu na konieczność opłacenia dodatkowych usług zdrowotnych), czy krzywdzące stereotypy dotyczące pracy osób z</w:t>
      </w:r>
      <w:r w:rsidR="008B68D4">
        <w:t> </w:t>
      </w:r>
      <w:r>
        <w:t xml:space="preserve">niepełnosprawnościami. </w:t>
      </w:r>
    </w:p>
    <w:p w14:paraId="6020B0F1" w14:textId="3A6EB684" w:rsidR="00E9361F" w:rsidRDefault="00962AE0" w:rsidP="00962AE0">
      <w:r>
        <w:t>Niestety, opisywanie sytuacji zawodowej osób z niepełnosprawnościami czy szczególnymi potrzebami nastręcza wielu trudności – podstawową jest brak przekrojowych badań monitorujących losy zawodowe absolwentów i absolwentek uczelni wyższych, uwzględniających zasygnalizowane powyżej specyficzne różnice pomiędzy ich sytuacją życiową i zawodową, a sytuacją pełnosprawnych absolwentów i absolwentek. Z tego względu niniejszy artykuł stanowić będzie subiektywny przegląd wątków, z</w:t>
      </w:r>
      <w:r w:rsidR="008B68D4">
        <w:t> </w:t>
      </w:r>
      <w:r>
        <w:t xml:space="preserve">którymi spotykam się osobiście pracując jako doradczyni zawodowa dla osób z niepełnosprawnościami w Biurze Karier Uniwersytetu Jagiellońskiego. Przedstawione doświadczenia doradcze starałam się poszerzyć o wnioski z dyskusji spotkań </w:t>
      </w:r>
      <w:proofErr w:type="spellStart"/>
      <w:r>
        <w:t>think</w:t>
      </w:r>
      <w:proofErr w:type="spellEnd"/>
      <w:r>
        <w:t xml:space="preserve"> tanku „Narzędzia dla dostępności miejsc pracy” realizowanego w</w:t>
      </w:r>
      <w:r w:rsidR="008B68D4">
        <w:t> </w:t>
      </w:r>
      <w:r>
        <w:t xml:space="preserve">ramach zadania 15 projektu "Odpowiedzialne wsparcie i zrównoważony rozwój" współfinansowanego przez Unię Europejską ze środków Europejskiego Funduszu Społecznego w ramach </w:t>
      </w:r>
      <w:r>
        <w:lastRenderedPageBreak/>
        <w:t>Programu Wiedza - Edukacja - Rozwój. Projekt jest realizowany w</w:t>
      </w:r>
      <w:r w:rsidR="008B68D4">
        <w:t> </w:t>
      </w:r>
      <w:r>
        <w:t xml:space="preserve">ramach konkursu Narodowego Centrum Badań i Rozwoju </w:t>
      </w:r>
      <w:r w:rsidR="008B68D4">
        <w:t>„</w:t>
      </w:r>
      <w:r>
        <w:t>Uczelnia dostępna</w:t>
      </w:r>
      <w:r w:rsidR="008B68D4">
        <w:t>”</w:t>
      </w:r>
      <w:r>
        <w:t>.</w:t>
      </w:r>
    </w:p>
    <w:p w14:paraId="70FBF253" w14:textId="098A9E5A" w:rsidR="00E9361F" w:rsidRPr="00E9361F" w:rsidRDefault="00962AE0" w:rsidP="00244619">
      <w:pPr>
        <w:pStyle w:val="Nagwek2"/>
      </w:pPr>
      <w:bookmarkStart w:id="1" w:name="_Toc152279070"/>
      <w:r w:rsidRPr="00962AE0">
        <w:t>Czy informować pracodawców o</w:t>
      </w:r>
      <w:r w:rsidR="00244619">
        <w:t> </w:t>
      </w:r>
      <w:r w:rsidRPr="00962AE0">
        <w:t>niepełnosprawności?</w:t>
      </w:r>
      <w:bookmarkEnd w:id="1"/>
    </w:p>
    <w:p w14:paraId="5A157661" w14:textId="321A643E" w:rsidR="00962AE0" w:rsidRPr="00962AE0" w:rsidRDefault="00962AE0" w:rsidP="00962AE0">
      <w:r w:rsidRPr="00962AE0">
        <w:t>Najczęstsze pytanie, przewijające się przez wiele rozmów doradczych prowadzonych z osobami z niepełnosprawnościami brzmi: „Czy mam obowiązek informować pracodawcę o swojej niepełnosprawności?”. Kwestię tę reguluje ustawa z dnia 27 sierpnia 1997 r. o rehabilitacji zawodowej i społecznej oraz zatrudnieniu osób niepełnosprawnych: pracownik nie ma obowiązku informowania pracodawcy o swojej niepełnosprawności – ani w</w:t>
      </w:r>
      <w:r w:rsidR="008B68D4">
        <w:t> </w:t>
      </w:r>
      <w:r w:rsidRPr="00962AE0">
        <w:t xml:space="preserve">dokumentach aplikacyjnych ani na dalszych etapach rekrutacji. Decyzja o poinformowaniu pracodawcy o swoim stanie zdrowia jest więc prawem a nie obowiązkiem – rodzi to jednak kolejne dylematy. </w:t>
      </w:r>
    </w:p>
    <w:p w14:paraId="046B50BE" w14:textId="00563F30" w:rsidR="00962AE0" w:rsidRPr="00962AE0" w:rsidRDefault="00FF2562" w:rsidP="00962AE0">
      <w:r>
        <w:t>Dane</w:t>
      </w:r>
      <w:r w:rsidR="00962AE0" w:rsidRPr="00962AE0">
        <w:t xml:space="preserve"> Głównego Urzędu Statystycznego </w:t>
      </w:r>
      <w:r>
        <w:t xml:space="preserve">(GUS, 2022) </w:t>
      </w:r>
      <w:r w:rsidR="00962AE0" w:rsidRPr="00962AE0">
        <w:t>wskazują, że w</w:t>
      </w:r>
      <w:r>
        <w:t> </w:t>
      </w:r>
      <w:r w:rsidR="00962AE0" w:rsidRPr="00962AE0">
        <w:t xml:space="preserve">roku akademickim 2021/2022 w uczelniach wyższych kształciło się 19,9 tys. osób z niepełnosprawnościami (co stanowi 1,7% ogólnej liczby osób studiujących). Jednocześnie według ostatnich dostępnych danych z kontroli NIK </w:t>
      </w:r>
      <w:r>
        <w:t xml:space="preserve">(2022) </w:t>
      </w:r>
      <w:r w:rsidR="00962AE0" w:rsidRPr="00962AE0">
        <w:t>wynika, że wśród tej grupy osób studiujących, największy odsetek stanowią osoby z tzw. innymi rodzajami niepełnosprawności – a więc osoby chorujące na nowotwory, choroby wewnętrzne, alergie, zaburzenia psychiczne, cukrzycę, epilepsję czy też osoby po transplantacjach (53% populacji osób z</w:t>
      </w:r>
      <w:r w:rsidR="008B68D4">
        <w:t> </w:t>
      </w:r>
      <w:r w:rsidR="00962AE0" w:rsidRPr="00962AE0">
        <w:t>niepełnosprawnościami studiujących na uczelniach wyższych).  Dane te dobrze ilustrują powody popularności omawianego pytania podczas spotkań doradczych</w:t>
      </w:r>
      <w:r w:rsidR="008B68D4">
        <w:t xml:space="preserve"> – </w:t>
      </w:r>
      <w:r w:rsidR="00962AE0" w:rsidRPr="00962AE0">
        <w:t>pokazują, że dużą część osób z</w:t>
      </w:r>
      <w:r w:rsidR="008B68D4">
        <w:t> </w:t>
      </w:r>
      <w:r w:rsidR="00962AE0" w:rsidRPr="00962AE0">
        <w:t xml:space="preserve">niepełnosprawnością studiujących na uniwersytecie i stawiających pierwsze kroki na rynku pracy stanowią osoby z tzw. niepełnosprawnością ukrytą czy niewidoczną, poważnie </w:t>
      </w:r>
      <w:r w:rsidR="00962AE0" w:rsidRPr="00962AE0">
        <w:lastRenderedPageBreak/>
        <w:t xml:space="preserve">rozważające korzyści i straty związane z poinformowaniem pracodawcy o stanie swojego zdrowia. </w:t>
      </w:r>
    </w:p>
    <w:p w14:paraId="240532E9" w14:textId="0AD08A02" w:rsidR="00962AE0" w:rsidRPr="00962AE0" w:rsidRDefault="00962AE0" w:rsidP="00962AE0">
      <w:r w:rsidRPr="00962AE0">
        <w:t>Jakie obawy kryją się za tym dylematem? W rozmowach doradczych wciąż wiele osób odwołuje się do doświadczenia uprzedzeń związanych z efektywnością pracy osób z niepełnosprawnościami oraz związanych z tym dyskryminacyjnych praktyk rekrutacyjnych. Umieszczenie informacji o niepełnosprawności – np. o posiadanym orzeczeniu o stopniu niepełnosprawności to wciąż ryzyko. Choć w</w:t>
      </w:r>
      <w:r w:rsidR="008B68D4">
        <w:t> </w:t>
      </w:r>
      <w:r w:rsidRPr="00962AE0">
        <w:t>świecie wielkiego biznesu i korporacji coraz więcej uwagi poświęca się kwestiom różnorodności, równości i dostępności, to w</w:t>
      </w:r>
      <w:r w:rsidR="008B68D4">
        <w:t> </w:t>
      </w:r>
      <w:r w:rsidRPr="00962AE0">
        <w:t xml:space="preserve">wielu miejscach pracy – zwłaszcza małych, umiejscowionych poza dużymi miastami – wdrażanie tych strategii jest wciąż pieśnią odległej przyszłości. Podczas spotkań doradztwa zawodowego, osoby z niepełnosprawnościami niejednokrotnie relacjonowały większy odzew pracodawców na te wersje swoich CV, w których nie zamieściły informacji o niepełnosprawności. </w:t>
      </w:r>
    </w:p>
    <w:p w14:paraId="2BA4BC0A" w14:textId="5723A20B" w:rsidR="00E9361F" w:rsidRDefault="00962AE0" w:rsidP="00962AE0">
      <w:r w:rsidRPr="00962AE0">
        <w:t xml:space="preserve">Trudnością pozostaje także drugi biegun praktyk dyskryminacyjnych – zatrudnianie osób z niepełnosprawnością nie ze względu na posiadane kompetencje czy wykształcenie, a ze względu na „potrzebne” pracodawcy orzeczenie o stopniu niepełnosprawności. Problem z tego rodzaju praktykami świetnie ilustruje wystąpienie </w:t>
      </w:r>
      <w:proofErr w:type="spellStart"/>
      <w:r w:rsidRPr="00962AE0">
        <w:t>Angeli</w:t>
      </w:r>
      <w:proofErr w:type="spellEnd"/>
      <w:r w:rsidRPr="00962AE0">
        <w:t xml:space="preserve"> Greli, pt. „Niezależna niepełnosprawność”</w:t>
      </w:r>
      <w:r w:rsidR="005B60B6">
        <w:t xml:space="preserve"> (</w:t>
      </w:r>
      <w:proofErr w:type="spellStart"/>
      <w:r w:rsidR="005B60B6">
        <w:t>TEDx</w:t>
      </w:r>
      <w:proofErr w:type="spellEnd"/>
      <w:r w:rsidR="005B60B6">
        <w:t xml:space="preserve"> </w:t>
      </w:r>
      <w:proofErr w:type="spellStart"/>
      <w:r w:rsidR="005B60B6">
        <w:t>Talks</w:t>
      </w:r>
      <w:proofErr w:type="spellEnd"/>
      <w:r w:rsidR="005B60B6">
        <w:t>, 2022)</w:t>
      </w:r>
      <w:r w:rsidRPr="00962AE0">
        <w:t>, w którym prelegentka zwraca uwagę na problem odbierania osobom z</w:t>
      </w:r>
      <w:r w:rsidR="008B68D4">
        <w:t> </w:t>
      </w:r>
      <w:r w:rsidRPr="00962AE0">
        <w:t xml:space="preserve">niepełnosprawnością sprawczości i samodzielności – postrzeganie tej grupy z daleko idącą „życzliwością”, stawiającą ich niepełnosprawność ponad wszystkie inne cechy, doświadczenia czy kompetencje, które posiadają. </w:t>
      </w:r>
    </w:p>
    <w:p w14:paraId="73618363" w14:textId="08C6C2D4" w:rsidR="00962AE0" w:rsidRPr="00962AE0" w:rsidRDefault="00962AE0" w:rsidP="00244619">
      <w:pPr>
        <w:pStyle w:val="Nagwek2"/>
      </w:pPr>
      <w:bookmarkStart w:id="2" w:name="_Toc152279071"/>
      <w:r w:rsidRPr="00962AE0">
        <w:t>Jak rozmawiać o</w:t>
      </w:r>
      <w:r w:rsidR="00794AAB">
        <w:t> </w:t>
      </w:r>
      <w:r w:rsidRPr="00962AE0">
        <w:t>niepełnosprawności?</w:t>
      </w:r>
      <w:bookmarkEnd w:id="2"/>
    </w:p>
    <w:p w14:paraId="238A6995" w14:textId="4073055E" w:rsidR="00962AE0" w:rsidRPr="00962AE0" w:rsidRDefault="00962AE0" w:rsidP="00962AE0">
      <w:r w:rsidRPr="00962AE0">
        <w:t xml:space="preserve">Osoby, które kierowane różnymi względami decydują się poinformować pracodawcę o swojej niepełnosprawności stają przed </w:t>
      </w:r>
      <w:r w:rsidRPr="00962AE0">
        <w:lastRenderedPageBreak/>
        <w:t>kolejnymi pytaniami: w jaki sposób rozmawiać o</w:t>
      </w:r>
      <w:r w:rsidR="008B68D4">
        <w:t> </w:t>
      </w:r>
      <w:r w:rsidRPr="00962AE0">
        <w:t>niepełnosprawności by przekazać najistotniejsze informacje a</w:t>
      </w:r>
      <w:r w:rsidR="008B68D4">
        <w:t> </w:t>
      </w:r>
      <w:r w:rsidRPr="00962AE0">
        <w:t>jednocześnie zatroszczyć się o własną prywatność? W jaki sposób przekazać informację o niepełnosprawności zespołowi? Jak skorzystać z przysługujących mi praw? Dobrą radą w tym kontekście jest posługiwanie się językiem adaptacji, których dana osoba potrzebuje by komfortowo i optymalnie pracować. Z</w:t>
      </w:r>
      <w:r w:rsidR="008B68D4">
        <w:t> </w:t>
      </w:r>
      <w:r w:rsidRPr="00962AE0">
        <w:t>perspektywy pracodawcy jest to najistotniejsza informacja – wiedza, czego potrzebuje dana osoba by być efektywną i</w:t>
      </w:r>
      <w:r w:rsidR="008B68D4">
        <w:t> </w:t>
      </w:r>
      <w:r w:rsidRPr="00962AE0">
        <w:t>samodzielną w przydzielonych zadaniach wydaje się mieć kluczowe znaczenie w kontekście organizacji pracy, stanowiska i obowiązków nowozatrudnionej osoby.</w:t>
      </w:r>
    </w:p>
    <w:p w14:paraId="1001323A" w14:textId="24D51FC7" w:rsidR="00962AE0" w:rsidRPr="00962AE0" w:rsidRDefault="00962AE0" w:rsidP="00962AE0">
      <w:r w:rsidRPr="00962AE0">
        <w:t>Jednocześnie choć zagłębianie się w szczegółową historię medyczną nie jest konieczne, to przygotowanie zwięzłego opisu swojego stanu zdrowia i zapoznanie z nim najbliższych współpracowników i</w:t>
      </w:r>
      <w:r w:rsidR="008B68D4">
        <w:t> </w:t>
      </w:r>
      <w:r w:rsidRPr="00962AE0">
        <w:t>najbliższe współpracowniczki może być dobrym pomysłem</w:t>
      </w:r>
      <w:r>
        <w:t xml:space="preserve"> – </w:t>
      </w:r>
      <w:r w:rsidRPr="00962AE0">
        <w:t>zwłaszcza, jeśli nasza kondycja zdrowotna może wymagać w</w:t>
      </w:r>
      <w:r w:rsidR="008B68D4">
        <w:t> </w:t>
      </w:r>
      <w:r w:rsidRPr="00962AE0">
        <w:t>kryzysowej sytuacji sprawnej interwencji ze strony najbliższego otoczenia – np. w przypadku ataku paniki, epilepsji czy hipoglikemii. Oprócz tego, przedstawienie zespołowi swojej sytuacji zdrowotnej oraz adaptacji, których potrzebujemy do sprawnej pracy może okazać się kluczowe w budowaniu lepszej współpracy w zespole. Tego rodzaju oddolne inicjatywy budowania większej świadomości niepełnosprawności mają nieocenione znaczenie – zarówno w</w:t>
      </w:r>
      <w:r w:rsidR="008B68D4">
        <w:t> </w:t>
      </w:r>
      <w:r w:rsidRPr="00962AE0">
        <w:t>systemowym kontekście jak i jako narzędzie budowania pełniejszego zrozumienia w zespole, atmosfery wsparcia i lepszej, bardziej bezpośredniej komunikacji.</w:t>
      </w:r>
    </w:p>
    <w:p w14:paraId="18F09E49" w14:textId="38B47761" w:rsidR="00962AE0" w:rsidRPr="00962AE0" w:rsidRDefault="00962AE0" w:rsidP="00962AE0">
      <w:r w:rsidRPr="00962AE0">
        <w:t>Niewątpliwie istotnym elementem ułatwiającym komunikację z</w:t>
      </w:r>
      <w:r w:rsidR="008B68D4">
        <w:t> </w:t>
      </w:r>
      <w:r w:rsidRPr="00962AE0">
        <w:t xml:space="preserve">pracodawcą w zakresie niepełnosprawności, jest znajomość własnych praw i dostępnych </w:t>
      </w:r>
      <w:r w:rsidR="008B68D4">
        <w:t>rodzajów</w:t>
      </w:r>
      <w:r w:rsidRPr="00962AE0">
        <w:t xml:space="preserve"> wsparcia – możliwych do wykorzystania narzędzi, usprawnień, programów wspierających czy dofinansowań. W sytuacji, gdy wciąż tak wiele osób z</w:t>
      </w:r>
      <w:r w:rsidR="008B68D4">
        <w:t> </w:t>
      </w:r>
      <w:r w:rsidRPr="00962AE0">
        <w:t xml:space="preserve">niepełnosprawnościami pozostaje poza otwartym rynkiem pracy, powszechny jest brak znajomości praw tej grupy osób w kontekście zatrudnienia. Budowanie świadomości niepełnosprawności wśród </w:t>
      </w:r>
      <w:r w:rsidRPr="00962AE0">
        <w:lastRenderedPageBreak/>
        <w:t>pracodawców powinno odwoływać się także do tej kwestii – by dla nikogo nie był zaskoczeniem krótszy czas pracy, możliwość korzystania z dłuższego urlopu czy wyjazdów rehabilitacyjnych. Współpraca pracodawcy z miejscowym oddziałem PFRON czy orientowanie się w dostępnych technologiach wspierających, ustanawianych aktach prawnych czy doniesieniach ze środowisk aktywistycznych to przykłady dobrych praktyk, które mogłyby znacznie usprawnić współpracę w tym zakresie.</w:t>
      </w:r>
    </w:p>
    <w:p w14:paraId="6782E4A5" w14:textId="69C851A9" w:rsidR="00962AE0" w:rsidRPr="00962AE0" w:rsidRDefault="00962AE0" w:rsidP="00244619">
      <w:pPr>
        <w:pStyle w:val="Nagwek1"/>
      </w:pPr>
      <w:bookmarkStart w:id="3" w:name="_Toc152279072"/>
      <w:r w:rsidRPr="00962AE0">
        <w:t>Wyboista droga do dyplomu – jak wyjaśnić pracodawcy przerwy w</w:t>
      </w:r>
      <w:r w:rsidR="00244619">
        <w:t> </w:t>
      </w:r>
      <w:r w:rsidRPr="00962AE0">
        <w:t>studiowaniu?</w:t>
      </w:r>
      <w:bookmarkEnd w:id="3"/>
    </w:p>
    <w:p w14:paraId="7FA31DA9" w14:textId="70172689" w:rsidR="00962AE0" w:rsidRPr="00962AE0" w:rsidRDefault="00962AE0" w:rsidP="00962AE0">
      <w:r w:rsidRPr="00962AE0">
        <w:t xml:space="preserve">Wiele osób z niepełnosprawnościami w trakcie toku studiów mierzy się z różnymi pozaakademickimi trudnościami – stanami zaostrzenia choroby, żmudną rehabilitacją, trudnościami materialnymi, </w:t>
      </w:r>
      <w:r w:rsidR="008B68D4">
        <w:t>itp</w:t>
      </w:r>
      <w:r w:rsidRPr="00962AE0">
        <w:t xml:space="preserve">. </w:t>
      </w:r>
      <w:r w:rsidR="008B68D4">
        <w:t>N</w:t>
      </w:r>
      <w:r w:rsidRPr="00962AE0">
        <w:t xml:space="preserve">ie pozostaje </w:t>
      </w:r>
      <w:r w:rsidR="008B68D4">
        <w:t xml:space="preserve">to </w:t>
      </w:r>
      <w:r w:rsidRPr="00962AE0">
        <w:t>bez wpływu na przebieg studiów, który w wielu wypadkach wydłuża się. W związku z tym podczas spotkań doradztwa zawodowego wielokrotnie spotkałam się z pytaniem o</w:t>
      </w:r>
      <w:r w:rsidR="008B68D4">
        <w:t> </w:t>
      </w:r>
      <w:r w:rsidRPr="00962AE0">
        <w:t>sposoby „wytłumaczenia się” pracodawcom z przerw w</w:t>
      </w:r>
      <w:r w:rsidR="008B68D4">
        <w:t> </w:t>
      </w:r>
      <w:r w:rsidRPr="00962AE0">
        <w:t>studiowaniu. Sytuację wchodzenia na rynek pracy charakteryzuje spora konkurencja – nic dziwnego więc, że wszyscy starają zaprezentować się w jak najlepszy sposób – przerwy w studiowaniu, konkurowanie z osobami o kilka lat młodszymi (np. z wciąż przysługującym im statusem studenta) nie pomagają w osiągnięciu najbardziej pożądanego wizerunku perfekcyjnego kandydata czy perfekcyjnej kandydatki do pracy. Myśląc w tych kategoriach łatwo zapomnieć, że to, co naprawdę najbardziej liczy się w kontekście podjęcia zatrudnienia to kompetencje danej osoby – jej wiedza, umiejętności i motywacja do działania, a te nie są wprost zależne od ukończenia bądź nieukończenia studiów w określonym tak czy inaczej terminie. Od plano</w:t>
      </w:r>
      <w:r w:rsidR="00FF2562">
        <w:t>wego</w:t>
      </w:r>
      <w:r w:rsidRPr="00962AE0">
        <w:t xml:space="preserve"> ukończenia studiów znacznie ważniejsze są zebrane w ich trakcie doświadczenia i wiedza – to o</w:t>
      </w:r>
      <w:r w:rsidR="00FF2562">
        <w:t> </w:t>
      </w:r>
      <w:r w:rsidRPr="00962AE0">
        <w:t xml:space="preserve">nie przede wszystkim będą pytać pracodawcy podczas procesów </w:t>
      </w:r>
      <w:r w:rsidRPr="00962AE0">
        <w:lastRenderedPageBreak/>
        <w:t>rekrutacyjnych. Oczywiście warto przygotować odpowiedź na pytania dotyczące przerw w studiowaniu – jednak nie po to by się bronić, a po to by szczerze i rzetelnie przedstawić swoją sytuację życiową. Niektórzy pracodawcy obawiają się, że przerwy w</w:t>
      </w:r>
      <w:r w:rsidR="00FF2562">
        <w:t> </w:t>
      </w:r>
      <w:r w:rsidRPr="00962AE0">
        <w:t>studiowaniu oznaczają częstsze nieobecności w potencjalnej pracy – warto pamiętać jednak, że ze względów antydyskryminacyjnych kondycja zdrowotna danej osoby nie powinna być przesłanką w</w:t>
      </w:r>
      <w:r w:rsidR="00FF2562">
        <w:t> </w:t>
      </w:r>
      <w:r w:rsidRPr="00962AE0">
        <w:t>podejmowaniu decyzji rekrutacyjnych, a także, że zdroworozsądkowo patrząc na sprawę, zatrudnienie „pełnosprawnej” osoby nie gwarantuje zdrowia i bezpieczeństwa pracownika czy pracowniczki przez cały okres zatrudnienia, tak jak i zatrudnienie osoby z niepełnosprawnością nie oznacza automatycznie, że jej stan zdrowia pogorszy się tak bardzo, że uniemożliwi jej pracę. Przećwiczenie odpowiedzi na to pytanie z uwzględnieniem omówionych perspektyw pozwoli z pewnością poczuć się pewniej przed przystąpieniem do procesu rekrutacji, a także przemyśleć balans pomiędzy ujawnianiem informacji zdrowotnych a dbaniem o</w:t>
      </w:r>
      <w:r w:rsidR="00FF2562">
        <w:t> </w:t>
      </w:r>
      <w:r w:rsidRPr="00962AE0">
        <w:t xml:space="preserve">swoją prywatność. </w:t>
      </w:r>
    </w:p>
    <w:p w14:paraId="2FB5E4D7" w14:textId="5CB6C83E" w:rsidR="00962AE0" w:rsidRPr="00962AE0" w:rsidRDefault="00962AE0" w:rsidP="00962AE0">
      <w:r w:rsidRPr="00962AE0">
        <w:t>Będąc przy tym temacie warto podjąć refleksję nad kwestią różnic w</w:t>
      </w:r>
      <w:r w:rsidR="00FF2562">
        <w:t> </w:t>
      </w:r>
      <w:r w:rsidRPr="00962AE0">
        <w:t xml:space="preserve">rozwoju każdej osoby – </w:t>
      </w:r>
      <w:r w:rsidR="00FF2562">
        <w:t>nabywanie</w:t>
      </w:r>
      <w:r w:rsidRPr="00962AE0">
        <w:t xml:space="preserve"> kompetencji osobistych nie dzieje się liniowo ani nie jest uzależnion</w:t>
      </w:r>
      <w:r w:rsidR="00FF2562">
        <w:t>e</w:t>
      </w:r>
      <w:r w:rsidRPr="00962AE0">
        <w:t xml:space="preserve"> od formalnej edukacji. Decyzja o przerwie w studiowaniu by zatroszczyć się o własne zdrowie, przemyśleć dalszą ścieżkę rozwoju czy spróbować własnych sił w innym środowisku to nie porażka – tylko inne, nowe doświadczenie. Podejmując je wykazujemy się wieloma cenionymi na rynku pracy kompetencjami – jak chociażby umiejętnością </w:t>
      </w:r>
      <w:proofErr w:type="spellStart"/>
      <w:r w:rsidRPr="00962AE0">
        <w:t>priorytetyzowania</w:t>
      </w:r>
      <w:proofErr w:type="spellEnd"/>
      <w:r w:rsidRPr="00962AE0">
        <w:t xml:space="preserve"> zadań (w tym wypadku życiowych), działania pod presją czy w sytuacji stresowej, elastycznością i otwartością. Różnorodność doświadczeń to zasób, z którego warto korzystać – zwłaszcza w kontekście budowania świata bardziej </w:t>
      </w:r>
      <w:proofErr w:type="spellStart"/>
      <w:r w:rsidRPr="00962AE0">
        <w:t>inkluzywnego</w:t>
      </w:r>
      <w:proofErr w:type="spellEnd"/>
      <w:r w:rsidRPr="00962AE0">
        <w:t xml:space="preserve"> i</w:t>
      </w:r>
      <w:r w:rsidR="00FF2562">
        <w:t> </w:t>
      </w:r>
      <w:r w:rsidRPr="00962AE0">
        <w:t>dopasowanego do indywidualnych potrzeb każdego człowieka.</w:t>
      </w:r>
    </w:p>
    <w:p w14:paraId="7018DD1A" w14:textId="3AE59480" w:rsidR="00962AE0" w:rsidRPr="00962AE0" w:rsidRDefault="00962AE0" w:rsidP="00962AE0">
      <w:r w:rsidRPr="00962AE0">
        <w:t>Szukając wspólnego mianownika opisanych zjawisk można odnieść wrażenie, że borykamy się wciąż z tymi samymi problemami – niską świadomością niepełnosprawności i stereotypowym myśleniem o</w:t>
      </w:r>
      <w:r w:rsidR="00FF2562">
        <w:t> </w:t>
      </w:r>
      <w:r w:rsidRPr="00962AE0">
        <w:t xml:space="preserve">pracy osób z niepełnosprawnościami. W tym kontekście </w:t>
      </w:r>
      <w:r w:rsidRPr="00962AE0">
        <w:lastRenderedPageBreak/>
        <w:t>uniwersytet ma do spełnienia ważną misję</w:t>
      </w:r>
      <w:r w:rsidR="00FF2562">
        <w:t>. P</w:t>
      </w:r>
      <w:r w:rsidRPr="00962AE0">
        <w:t>owinien stawać się nie tylko miejscem, w którym młodzi ludzie – wszyscy, w tym osoby z</w:t>
      </w:r>
      <w:r w:rsidR="00FF2562">
        <w:t> </w:t>
      </w:r>
      <w:r w:rsidRPr="00962AE0">
        <w:t>niepełnosprawnościami</w:t>
      </w:r>
      <w:r w:rsidR="00FF2562">
        <w:t xml:space="preserve"> – </w:t>
      </w:r>
      <w:r w:rsidRPr="00962AE0">
        <w:t>otrzymują narzędzia do zdobycia specjalistycznej wiedzy i doświadczenia, niezbędnych do zbudowania satysfakcjonującej ścieżki kariery, ale także miejscem, które zainspiruje ich do poszukiwań pomysłu na siebie, poznania swoich mocnych stron, a także wzmocnienia zasobów i kompetencji miękkich równie potrzebnych na rynku pracy, co kompetencje specjalistyczne. Z drugiej strony, uniwersytet powinien stanowić także bezpieczną przestrzeń eksperymentowania – np. poprzez korzystanie przez osoby z niepełnosprawnościami z przysługujących im adaptacji by dowiedzieć się, jakich warunków potrzebują, by funkcjonować w optymalny dla siebie sposób. Twarde realia rynku pracy niejednokrotnie wymagać będą od nich proaktywnej postawy i</w:t>
      </w:r>
      <w:r w:rsidR="00FF2562">
        <w:t> </w:t>
      </w:r>
      <w:r w:rsidRPr="00962AE0">
        <w:t>znajomości własnych praw – a także gotowości do dzielenia się wiedzą o niepełnosprawności czy szczególnych potrzebach i związanych z nimi szansach i trudnościach. </w:t>
      </w:r>
    </w:p>
    <w:p w14:paraId="04E715DA" w14:textId="73AA385F" w:rsidR="00962AE0" w:rsidRPr="00962AE0" w:rsidRDefault="00962AE0" w:rsidP="00962AE0">
      <w:r w:rsidRPr="00962AE0">
        <w:t>Za sprawą licznych inicjatyw – od akcji wspierających zatrudnianie osób z niepełnosprawnościami, przez budowanie wyższej świadomości społecznej dotyczącej realnych możliwości zawodowych tej grupy osób i możliwych do zastosowania adaptacji – sytuacja na rynku pracy wciąż się poprawia: obecne perspektywy zatrudnienia wydają się być korzystniejsze z roku na rok. O ile poprawia się sytuacja absolwentów i absolwentek szkół wyższych z</w:t>
      </w:r>
      <w:r w:rsidR="00FF2562">
        <w:t> </w:t>
      </w:r>
      <w:r w:rsidRPr="00962AE0">
        <w:t>niepełnosprawnościami na rynku pracy? Jakie potrzeby wciąż zgłaszają? Jakie miejsca zatrudnienia sprzyjają im najbardziej? Co je charakteryzuje? To tylko kilka pytań, które znacząco pomogłyby nam – doradcom i doradczyniom zawodowym, a także innym osobom odpowiedzialnym za ustalanie efektów kształcenia czy proponowanie rozwiązań dostępnościowych na uniwersytetach – w</w:t>
      </w:r>
      <w:r w:rsidR="00FF2562">
        <w:t> </w:t>
      </w:r>
      <w:r w:rsidRPr="00962AE0">
        <w:t>efektywnym wspieraniu osób studiujących w budowaniu własnej ścieżki kariery. Zasypanie dziury informacyjnej związanej ze specyficznymi losami zawodowymi tej grupy absolwentów i</w:t>
      </w:r>
      <w:r w:rsidR="00FF2562">
        <w:t> </w:t>
      </w:r>
      <w:r w:rsidRPr="00962AE0">
        <w:t xml:space="preserve">absolwentek wydaje się kluczowe nie tylko w kontekście wyposażania osób studiujących w realną wiedzę i umiejętności potrzebne na rynku pracy, ale także w kontekście współpracy </w:t>
      </w:r>
      <w:r w:rsidRPr="00962AE0">
        <w:lastRenderedPageBreak/>
        <w:t>z</w:t>
      </w:r>
      <w:r w:rsidR="00FF2562">
        <w:t> </w:t>
      </w:r>
      <w:r w:rsidRPr="00962AE0">
        <w:t>pracodawcami. Tego rodzaju informacje stanowiłyby doskonałą podstawę do wspólnego wypracowywania dobrych praktyk – łącząc potrzeby rynku pracy z opracowanymi na uniwersytecie rozwiązaniami w postaci adaptacji czy praktyk dostępnościowych, by lepiej kształcić i wspierać osoby z niepełnosprawnościami i</w:t>
      </w:r>
      <w:r w:rsidR="00FF2562">
        <w:t> </w:t>
      </w:r>
      <w:r w:rsidRPr="00962AE0">
        <w:t>szczególnymi potrzebami na ich drodze do budowania satysfakcjonującej kariery. </w:t>
      </w:r>
    </w:p>
    <w:p w14:paraId="4DE96B07" w14:textId="0722A604" w:rsidR="00B832D7" w:rsidRPr="00554443" w:rsidRDefault="00B832D7" w:rsidP="00244619">
      <w:pPr>
        <w:pStyle w:val="Nagwek2"/>
      </w:pPr>
      <w:bookmarkStart w:id="4" w:name="_Toc152279073"/>
      <w:r w:rsidRPr="00554443">
        <w:t>Źródła</w:t>
      </w:r>
      <w:bookmarkEnd w:id="4"/>
      <w:r w:rsidRPr="00554443">
        <w:t xml:space="preserve"> </w:t>
      </w:r>
    </w:p>
    <w:p w14:paraId="4F7AA6DC" w14:textId="2074E8C7" w:rsidR="00B832D7" w:rsidRPr="00FF2562" w:rsidRDefault="00FF2562" w:rsidP="00B832D7">
      <w:r>
        <w:t>GUS, (2022). Osoby niepełnosprawne w 2021 roku</w:t>
      </w:r>
      <w:r w:rsidR="00B832D7" w:rsidRPr="00FF2562">
        <w:t>.</w:t>
      </w:r>
    </w:p>
    <w:p w14:paraId="2F60308C" w14:textId="565AAD5A" w:rsidR="00B832D7" w:rsidRDefault="00FF2562" w:rsidP="00B832D7">
      <w:r>
        <w:t>NIK, (2018)</w:t>
      </w:r>
      <w:r w:rsidR="00B832D7">
        <w:t>.</w:t>
      </w:r>
      <w:r>
        <w:t xml:space="preserve"> </w:t>
      </w:r>
      <w:r>
        <w:rPr>
          <w:rFonts w:cs="Minion Pro"/>
          <w:i/>
          <w:iCs/>
          <w:color w:val="000000"/>
        </w:rPr>
        <w:t>Realizacja przez uczelnie akademickie i zawodowe obowiązku stworzenia niepełnosprawnym studentom i doktorantom warunków do pełne</w:t>
      </w:r>
      <w:r>
        <w:rPr>
          <w:rFonts w:cs="Minion Pro"/>
          <w:i/>
          <w:iCs/>
          <w:color w:val="000000"/>
        </w:rPr>
        <w:softHyphen/>
        <w:t>go udziału w procesie kształcenia i w badaniach naukowych</w:t>
      </w:r>
      <w:r>
        <w:rPr>
          <w:rFonts w:cs="Minion Pro"/>
          <w:color w:val="000000"/>
        </w:rPr>
        <w:t xml:space="preserve">, nr ew. 78/2018/P/18/087/LOL, </w:t>
      </w:r>
      <w:hyperlink r:id="rId19" w:history="1">
        <w:r w:rsidRPr="00554443">
          <w:rPr>
            <w:rStyle w:val="Hipercze"/>
            <w:color w:val="C00000"/>
          </w:rPr>
          <w:t>https://www.nik.gov.pl/kontrole/wyniki-kontroli-nik/pobierz,lol~p_18_087_201804060812531523002373~01,typ,kk.pdf</w:t>
        </w:r>
      </w:hyperlink>
      <w:r w:rsidRPr="00554443">
        <w:rPr>
          <w:color w:val="C00000"/>
        </w:rPr>
        <w:t xml:space="preserve"> </w:t>
      </w:r>
    </w:p>
    <w:p w14:paraId="69B3D7C2" w14:textId="6B3F6CF5" w:rsidR="00E9361F" w:rsidRPr="005B60B6" w:rsidRDefault="005B60B6">
      <w:proofErr w:type="spellStart"/>
      <w:r w:rsidRPr="005B60B6">
        <w:t>TEDx</w:t>
      </w:r>
      <w:proofErr w:type="spellEnd"/>
      <w:r w:rsidRPr="005B60B6">
        <w:t xml:space="preserve"> </w:t>
      </w:r>
      <w:proofErr w:type="spellStart"/>
      <w:r w:rsidRPr="005B60B6">
        <w:t>Talks</w:t>
      </w:r>
      <w:proofErr w:type="spellEnd"/>
      <w:r w:rsidRPr="005B60B6">
        <w:t>, (2022, 5 grudzie</w:t>
      </w:r>
      <w:r>
        <w:t>ń</w:t>
      </w:r>
      <w:r w:rsidRPr="005B60B6">
        <w:t>)</w:t>
      </w:r>
      <w:r>
        <w:t xml:space="preserve">. </w:t>
      </w:r>
      <w:r w:rsidRPr="005B60B6">
        <w:t xml:space="preserve">Niezależna niepełnosprawność | Angelika </w:t>
      </w:r>
      <w:proofErr w:type="spellStart"/>
      <w:r w:rsidRPr="005B60B6">
        <w:t>Greniuk</w:t>
      </w:r>
      <w:proofErr w:type="spellEnd"/>
      <w:r w:rsidRPr="005B60B6">
        <w:t xml:space="preserve"> | </w:t>
      </w:r>
      <w:proofErr w:type="spellStart"/>
      <w:r w:rsidRPr="005B60B6">
        <w:t>TEDxUniversityofWarsaw</w:t>
      </w:r>
      <w:proofErr w:type="spellEnd"/>
      <w:r>
        <w:t xml:space="preserve">, </w:t>
      </w:r>
      <w:r w:rsidRPr="005B60B6">
        <w:t xml:space="preserve"> </w:t>
      </w:r>
      <w:hyperlink r:id="rId20" w:history="1">
        <w:r w:rsidRPr="00554443">
          <w:rPr>
            <w:rStyle w:val="Hipercze"/>
            <w:color w:val="C00000"/>
          </w:rPr>
          <w:t>https://www.youtube.com/watch?v=TYTa_tAyR-I&amp;ab_channel=TEDxTalks</w:t>
        </w:r>
      </w:hyperlink>
    </w:p>
    <w:sectPr w:rsidR="00E9361F" w:rsidRPr="005B60B6" w:rsidSect="00554443">
      <w:footerReference w:type="default" r:id="rId21"/>
      <w:pgSz w:w="11907" w:h="16839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2F46" w14:textId="77777777" w:rsidR="003A5E5D" w:rsidRDefault="003A5E5D">
      <w:pPr>
        <w:spacing w:after="0" w:line="240" w:lineRule="auto"/>
      </w:pPr>
      <w:r>
        <w:separator/>
      </w:r>
    </w:p>
  </w:endnote>
  <w:endnote w:type="continuationSeparator" w:id="0">
    <w:p w14:paraId="6253E91D" w14:textId="77777777" w:rsidR="003A5E5D" w:rsidRDefault="003A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465" w14:textId="77777777" w:rsidR="00AD47FD" w:rsidRDefault="00AD4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0D22" w14:textId="77777777" w:rsidR="00AD47FD" w:rsidRDefault="00AD47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ED00" w14:textId="44746273" w:rsidR="00554443" w:rsidRDefault="00554443">
    <w:pPr>
      <w:pStyle w:val="Stopka"/>
    </w:pP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5D29A435" wp14:editId="38153B9A">
          <wp:simplePos x="0" y="0"/>
          <wp:positionH relativeFrom="column">
            <wp:posOffset>-997585</wp:posOffset>
          </wp:positionH>
          <wp:positionV relativeFrom="paragraph">
            <wp:posOffset>-95885</wp:posOffset>
          </wp:positionV>
          <wp:extent cx="1748155" cy="652145"/>
          <wp:effectExtent l="0" t="0" r="0" b="0"/>
          <wp:wrapNone/>
          <wp:docPr id="23974921" name="Obraz 23974921" descr="Logotyp: Fundusze Europejskie Wiedza Edukacja Rozwój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74921" name="Obraz 23974921" descr="Logotyp: Fundusze Europejskie Wiedza Edukacja Rozwój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49AAF4B0" wp14:editId="1E26FFE2">
          <wp:simplePos x="0" y="0"/>
          <wp:positionH relativeFrom="column">
            <wp:posOffset>1546225</wp:posOffset>
          </wp:positionH>
          <wp:positionV relativeFrom="paragraph">
            <wp:posOffset>-89535</wp:posOffset>
          </wp:positionV>
          <wp:extent cx="2221230" cy="652145"/>
          <wp:effectExtent l="0" t="0" r="0" b="0"/>
          <wp:wrapNone/>
          <wp:docPr id="1844470328" name="Obraz 1844470328" descr="Logotyp: flaga Rzeczpospolitej Polskiej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470328" name="Obraz 1844470328" descr="Logotyp: flaga Rzeczpospolitej Polskiej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66F2ADCC" wp14:editId="327F6672">
          <wp:simplePos x="0" y="0"/>
          <wp:positionH relativeFrom="column">
            <wp:posOffset>4219632</wp:posOffset>
          </wp:positionH>
          <wp:positionV relativeFrom="paragraph">
            <wp:posOffset>-95916</wp:posOffset>
          </wp:positionV>
          <wp:extent cx="2023110" cy="652145"/>
          <wp:effectExtent l="0" t="0" r="0" b="0"/>
          <wp:wrapNone/>
          <wp:docPr id="2079673086" name="Obraz 2079673086" descr="Flaga: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673086" name="Obraz 2079673086" descr="Flaga: Unia Europejska, Europejski Fundusz Społeczny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C87" w14:textId="77777777" w:rsidR="003A5E5D" w:rsidRDefault="003A5E5D">
      <w:pPr>
        <w:spacing w:after="0" w:line="240" w:lineRule="auto"/>
      </w:pPr>
      <w:r>
        <w:separator/>
      </w:r>
    </w:p>
  </w:footnote>
  <w:footnote w:type="continuationSeparator" w:id="0">
    <w:p w14:paraId="4411276C" w14:textId="77777777" w:rsidR="003A5E5D" w:rsidRDefault="003A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834" w14:textId="77777777" w:rsidR="00AD47FD" w:rsidRDefault="00AD4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1BB3" w14:textId="77777777" w:rsidR="00AD47FD" w:rsidRDefault="00AD4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2D45" w14:textId="246FD5A9" w:rsidR="00554443" w:rsidRDefault="00554443">
    <w:pPr>
      <w:pStyle w:val="Nagwek"/>
    </w:pPr>
    <w:r w:rsidRPr="008C1765">
      <w:rPr>
        <w:noProof/>
      </w:rPr>
      <w:drawing>
        <wp:inline distT="0" distB="0" distL="0" distR="0" wp14:anchorId="71647E32" wp14:editId="654B3CA1">
          <wp:extent cx="5093091" cy="1242770"/>
          <wp:effectExtent l="0" t="0" r="0" b="1905"/>
          <wp:docPr id="1211061122" name="Obraz 1211061122" descr="Logo projektu &quot;Odpowiedzialne wsparcie i zrównoważony rozwój&quot;, tytuł projektu, logo Uniwersytetu Jagiellońskiego w Krakowi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061122" name="Obraz 1211061122" descr="Logo projektu &quot;Odpowiedzialne wsparcie i zrównoważony rozwój&quot;, tytuł projektu, logo Uniwersytetu Jagiellońskiego w Krakowi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9846">
    <w:abstractNumId w:val="9"/>
  </w:num>
  <w:num w:numId="2" w16cid:durableId="841968185">
    <w:abstractNumId w:val="11"/>
  </w:num>
  <w:num w:numId="3" w16cid:durableId="1541821109">
    <w:abstractNumId w:val="11"/>
  </w:num>
  <w:num w:numId="4" w16cid:durableId="345835766">
    <w:abstractNumId w:val="11"/>
  </w:num>
  <w:num w:numId="5" w16cid:durableId="1497719792">
    <w:abstractNumId w:val="11"/>
  </w:num>
  <w:num w:numId="6" w16cid:durableId="1723867202">
    <w:abstractNumId w:val="8"/>
  </w:num>
  <w:num w:numId="7" w16cid:durableId="770393810">
    <w:abstractNumId w:val="14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12"/>
  </w:num>
  <w:num w:numId="17" w16cid:durableId="834222573">
    <w:abstractNumId w:val="14"/>
  </w:num>
  <w:num w:numId="18" w16cid:durableId="726685999">
    <w:abstractNumId w:val="10"/>
  </w:num>
  <w:num w:numId="19" w16cid:durableId="276644214">
    <w:abstractNumId w:val="13"/>
  </w:num>
  <w:num w:numId="20" w16cid:durableId="2145460907">
    <w:abstractNumId w:val="14"/>
  </w:num>
  <w:num w:numId="21" w16cid:durableId="597758269">
    <w:abstractNumId w:val="14"/>
  </w:num>
  <w:num w:numId="22" w16cid:durableId="1857041394">
    <w:abstractNumId w:val="14"/>
  </w:num>
  <w:num w:numId="23" w16cid:durableId="1082871393">
    <w:abstractNumId w:val="14"/>
  </w:num>
  <w:num w:numId="24" w16cid:durableId="20146486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84979"/>
    <w:rsid w:val="000E2FEA"/>
    <w:rsid w:val="00244619"/>
    <w:rsid w:val="002527B2"/>
    <w:rsid w:val="002D47F0"/>
    <w:rsid w:val="003A5E5D"/>
    <w:rsid w:val="00554443"/>
    <w:rsid w:val="005B60B6"/>
    <w:rsid w:val="00627A9F"/>
    <w:rsid w:val="007439C8"/>
    <w:rsid w:val="00794AAB"/>
    <w:rsid w:val="00816F0E"/>
    <w:rsid w:val="008B684D"/>
    <w:rsid w:val="008B68D4"/>
    <w:rsid w:val="008C2C4F"/>
    <w:rsid w:val="009373C6"/>
    <w:rsid w:val="00962AE0"/>
    <w:rsid w:val="009D47CA"/>
    <w:rsid w:val="009E4642"/>
    <w:rsid w:val="00AD47FD"/>
    <w:rsid w:val="00B832D7"/>
    <w:rsid w:val="00BD7B85"/>
    <w:rsid w:val="00E71959"/>
    <w:rsid w:val="00E85059"/>
    <w:rsid w:val="00E9361F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Tytu"/>
    <w:next w:val="Normalny"/>
    <w:link w:val="Nagwek1Znak"/>
    <w:uiPriority w:val="9"/>
    <w:qFormat/>
    <w:rsid w:val="00244619"/>
    <w:pPr>
      <w:outlineLvl w:val="0"/>
    </w:pPr>
    <w:rPr>
      <w:sz w:val="52"/>
      <w:szCs w:val="52"/>
    </w:rPr>
  </w:style>
  <w:style w:type="paragraph" w:styleId="Nagwek2">
    <w:name w:val="heading 2"/>
    <w:basedOn w:val="Nagwekspisutreci"/>
    <w:next w:val="Normalny"/>
    <w:link w:val="Nagwek2Znak"/>
    <w:uiPriority w:val="9"/>
    <w:unhideWhenUsed/>
    <w:qFormat/>
    <w:rsid w:val="00244619"/>
    <w:pPr>
      <w:spacing w:after="840"/>
      <w:outlineLvl w:val="1"/>
    </w:pPr>
    <w:rPr>
      <w:color w:val="auto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619"/>
    <w:rPr>
      <w:rFonts w:asciiTheme="majorHAnsi" w:eastAsiaTheme="majorEastAsia" w:hAnsiTheme="majorHAnsi" w:cstheme="majorBidi"/>
      <w:b/>
      <w:caps/>
      <w:color w:val="2A2A2A" w:themeColor="text2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244619"/>
    <w:rPr>
      <w:rFonts w:asciiTheme="majorHAnsi" w:eastAsiaTheme="majorEastAsia" w:hAnsiTheme="majorHAnsi" w:cstheme="majorBidi"/>
      <w:b/>
      <w:caps/>
      <w:color w:val="auto"/>
      <w:kern w:val="28"/>
      <w:sz w:val="52"/>
      <w:szCs w:val="52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1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8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6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eop">
    <w:name w:val="eop"/>
    <w:basedOn w:val="Domylnaczcionkaakapitu"/>
    <w:rsid w:val="00962AE0"/>
  </w:style>
  <w:style w:type="character" w:customStyle="1" w:styleId="normaltextrun">
    <w:name w:val="normaltextrun"/>
    <w:basedOn w:val="Domylnaczcionkaakapitu"/>
    <w:rsid w:val="00962AE0"/>
  </w:style>
  <w:style w:type="character" w:styleId="UyteHipercze">
    <w:name w:val="FollowedHyperlink"/>
    <w:basedOn w:val="Domylnaczcionkaakapitu"/>
    <w:uiPriority w:val="99"/>
    <w:semiHidden/>
    <w:unhideWhenUsed/>
    <w:rsid w:val="00FF2562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youtube.com/watch?v=TYTa_tAyR-I&amp;ab_channel=TEDxTalk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nik.gov.pl/kontrole/wyniki-kontroli-nik/pobierz,lol~p_18_087_201804060812531523002373~01,typ,kk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2178</Words>
  <Characters>13070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Marta Bylica</cp:lastModifiedBy>
  <cp:revision>7</cp:revision>
  <cp:lastPrinted>2023-12-04T12:17:00Z</cp:lastPrinted>
  <dcterms:created xsi:type="dcterms:W3CDTF">2023-12-01T08:10:00Z</dcterms:created>
  <dcterms:modified xsi:type="dcterms:W3CDTF">2023-12-04T12:18:00Z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