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43ECF" w14:textId="17A45DD8" w:rsidR="009E4642" w:rsidRPr="00962AE0" w:rsidRDefault="00DA66AB" w:rsidP="00084979">
      <w:pPr>
        <w:pStyle w:val="Tytu"/>
        <w:rPr>
          <w:sz w:val="52"/>
          <w:szCs w:val="52"/>
        </w:rPr>
      </w:pPr>
      <w:r w:rsidRPr="00DA66AB">
        <w:rPr>
          <w:sz w:val="52"/>
          <w:szCs w:val="52"/>
        </w:rPr>
        <w:t xml:space="preserve">Włączanie niepełnosprawności </w:t>
      </w:r>
      <w:r w:rsidR="000932F8">
        <w:rPr>
          <w:sz w:val="52"/>
          <w:szCs w:val="52"/>
        </w:rPr>
        <w:br/>
      </w:r>
      <w:r w:rsidRPr="00DA66AB">
        <w:rPr>
          <w:sz w:val="52"/>
          <w:szCs w:val="52"/>
        </w:rPr>
        <w:t>w biznesie</w:t>
      </w:r>
      <w:r w:rsidR="00084979" w:rsidRPr="00962AE0">
        <w:rPr>
          <w:sz w:val="52"/>
          <w:szCs w:val="52"/>
        </w:rPr>
        <w:t xml:space="preserve"> </w:t>
      </w:r>
    </w:p>
    <w:p w14:paraId="1A0A663D" w14:textId="26C8599E" w:rsidR="009E4642" w:rsidRPr="00962AE0" w:rsidRDefault="00DA66AB">
      <w:pPr>
        <w:pStyle w:val="Podtytu"/>
        <w:rPr>
          <w:sz w:val="40"/>
          <w:szCs w:val="12"/>
        </w:rPr>
      </w:pPr>
      <w:r>
        <w:rPr>
          <w:sz w:val="40"/>
          <w:szCs w:val="12"/>
        </w:rPr>
        <w:t>Wybrane praktyki</w:t>
      </w:r>
    </w:p>
    <w:p w14:paraId="1C01003D" w14:textId="101A8096" w:rsidR="009E4642" w:rsidRDefault="00DA66AB" w:rsidP="00B832D7">
      <w:pPr>
        <w:jc w:val="center"/>
      </w:pPr>
      <w:r>
        <w:rPr>
          <w:noProof/>
        </w:rPr>
        <w:drawing>
          <wp:inline distT="0" distB="0" distL="0" distR="0" wp14:anchorId="63C3A1D4" wp14:editId="0D151308">
            <wp:extent cx="2743200" cy="4127500"/>
            <wp:effectExtent l="0" t="0" r="0" b="0"/>
            <wp:docPr id="1597887154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887154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12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205F0" w14:textId="77777777" w:rsidR="00B832D7" w:rsidRDefault="00B832D7" w:rsidP="00B832D7">
      <w:pPr>
        <w:pStyle w:val="Autor"/>
        <w:jc w:val="right"/>
      </w:pPr>
    </w:p>
    <w:p w14:paraId="6D72E1F9" w14:textId="047610A5" w:rsidR="009E4642" w:rsidRDefault="00DA66AB" w:rsidP="009D47CA">
      <w:pPr>
        <w:pStyle w:val="Autor"/>
      </w:pPr>
      <w:r w:rsidRPr="00DA66AB">
        <w:t>Monika Jankowska-</w:t>
      </w:r>
      <w:proofErr w:type="spellStart"/>
      <w:r w:rsidRPr="00DA66AB">
        <w:t>Rangelov</w:t>
      </w:r>
      <w:proofErr w:type="spellEnd"/>
    </w:p>
    <w:p w14:paraId="568ABD57" w14:textId="1ED90EC9" w:rsidR="0097604D" w:rsidRDefault="0097604D" w:rsidP="009D47CA">
      <w:pPr>
        <w:pStyle w:val="Autor"/>
        <w:rPr>
          <w:b w:val="0"/>
          <w:bCs/>
          <w:sz w:val="28"/>
          <w:szCs w:val="22"/>
        </w:rPr>
      </w:pPr>
      <w:r w:rsidRPr="008F1BB8">
        <w:rPr>
          <w:b w:val="0"/>
          <w:bCs/>
          <w:sz w:val="28"/>
          <w:szCs w:val="22"/>
        </w:rPr>
        <w:t>Dyrektor ds. Włączania Różnorodności oraz</w:t>
      </w:r>
      <w:r>
        <w:rPr>
          <w:b w:val="0"/>
          <w:bCs/>
          <w:sz w:val="28"/>
          <w:szCs w:val="22"/>
        </w:rPr>
        <w:t> </w:t>
      </w:r>
      <w:r w:rsidRPr="008F1BB8">
        <w:rPr>
          <w:b w:val="0"/>
          <w:bCs/>
          <w:sz w:val="28"/>
          <w:szCs w:val="22"/>
        </w:rPr>
        <w:t xml:space="preserve">Wyrównywania Szans, </w:t>
      </w:r>
    </w:p>
    <w:p w14:paraId="2A61860B" w14:textId="49AEEB6E" w:rsidR="0097604D" w:rsidRPr="008F1BB8" w:rsidRDefault="0097604D" w:rsidP="009D47CA">
      <w:pPr>
        <w:pStyle w:val="Autor"/>
        <w:rPr>
          <w:b w:val="0"/>
          <w:bCs/>
          <w:sz w:val="28"/>
          <w:szCs w:val="22"/>
          <w:lang w:val="en-US"/>
        </w:rPr>
      </w:pPr>
      <w:r w:rsidRPr="008F1BB8">
        <w:rPr>
          <w:b w:val="0"/>
          <w:bCs/>
          <w:sz w:val="28"/>
          <w:szCs w:val="22"/>
          <w:lang w:val="en-US"/>
        </w:rPr>
        <w:t>Vice President w State Street Bank Polska</w:t>
      </w:r>
    </w:p>
    <w:p w14:paraId="6B54080A" w14:textId="77777777" w:rsidR="009E4642" w:rsidRPr="008F1BB8" w:rsidRDefault="00816F0E">
      <w:pPr>
        <w:rPr>
          <w:lang w:val="en-US"/>
        </w:rPr>
      </w:pPr>
      <w:r w:rsidRPr="008F1BB8">
        <w:rPr>
          <w:lang w:val="en-US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caps w:val="0"/>
          <w:color w:val="5F5F5F" w:themeColor="text2" w:themeTint="BF"/>
          <w:sz w:val="24"/>
          <w:szCs w:val="24"/>
        </w:rPr>
        <w:id w:val="-1568100847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11C547C5" w14:textId="77777777" w:rsidR="009E4642" w:rsidRPr="00816F0E" w:rsidRDefault="00816F0E">
          <w:pPr>
            <w:pStyle w:val="Nagwekspisutreci"/>
          </w:pPr>
          <w:r>
            <w:rPr>
              <w:rStyle w:val="Uwydatnienie"/>
            </w:rPr>
            <w:t>Spis</w:t>
          </w:r>
          <w:r>
            <w:rPr>
              <w:rStyle w:val="Uwydatnienie"/>
            </w:rPr>
            <w:br/>
          </w:r>
          <w:r>
            <w:t>treści</w:t>
          </w:r>
        </w:p>
        <w:p w14:paraId="0A9B131A" w14:textId="4C60C379" w:rsidR="0097604D" w:rsidRDefault="00816F0E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kern w:val="2"/>
              <w:sz w:val="24"/>
              <w:lang w:eastAsia="pl-PL" w:bidi="ar-SA"/>
              <w14:ligatures w14:val="standardContextual"/>
            </w:rPr>
          </w:pPr>
          <w:r>
            <w:rPr>
              <w:noProof/>
            </w:rPr>
            <w:fldChar w:fldCharType="begin"/>
          </w:r>
          <w:r>
            <w:instrText xml:space="preserve"> TOC \o "1-3" \u </w:instrText>
          </w:r>
          <w:r>
            <w:rPr>
              <w:noProof/>
            </w:rPr>
            <w:fldChar w:fldCharType="separate"/>
          </w:r>
          <w:r w:rsidR="0097604D">
            <w:rPr>
              <w:noProof/>
            </w:rPr>
            <w:t>Wprowadzenie</w:t>
          </w:r>
          <w:r w:rsidR="0097604D">
            <w:rPr>
              <w:noProof/>
            </w:rPr>
            <w:tab/>
          </w:r>
          <w:r w:rsidR="0097604D">
            <w:rPr>
              <w:noProof/>
            </w:rPr>
            <w:fldChar w:fldCharType="begin"/>
          </w:r>
          <w:r w:rsidR="0097604D">
            <w:rPr>
              <w:noProof/>
            </w:rPr>
            <w:instrText xml:space="preserve"> PAGEREF _Toc153470837 \h </w:instrText>
          </w:r>
          <w:r w:rsidR="0097604D">
            <w:rPr>
              <w:noProof/>
            </w:rPr>
          </w:r>
          <w:r w:rsidR="0097604D">
            <w:rPr>
              <w:noProof/>
            </w:rPr>
            <w:fldChar w:fldCharType="separate"/>
          </w:r>
          <w:r w:rsidR="0097604D">
            <w:rPr>
              <w:noProof/>
            </w:rPr>
            <w:t>1</w:t>
          </w:r>
          <w:r w:rsidR="0097604D">
            <w:rPr>
              <w:noProof/>
            </w:rPr>
            <w:fldChar w:fldCharType="end"/>
          </w:r>
        </w:p>
        <w:p w14:paraId="7A38743B" w14:textId="1DC7F9D5" w:rsidR="0097604D" w:rsidRDefault="0097604D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kern w:val="2"/>
              <w:sz w:val="24"/>
              <w:lang w:eastAsia="pl-PL" w:bidi="ar-SA"/>
              <w14:ligatures w14:val="standardContextual"/>
            </w:rPr>
          </w:pPr>
          <w:r>
            <w:rPr>
              <w:noProof/>
            </w:rPr>
            <w:t>Tło zagadnienia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_Toc153470838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14:paraId="62CFE694" w14:textId="6F715C0D" w:rsidR="0097604D" w:rsidRDefault="0097604D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kern w:val="2"/>
              <w:sz w:val="24"/>
              <w:lang w:eastAsia="pl-PL" w:bidi="ar-SA"/>
              <w14:ligatures w14:val="standardContextual"/>
            </w:rPr>
          </w:pPr>
          <w:r>
            <w:rPr>
              <w:noProof/>
            </w:rPr>
            <w:t>POdejmowane działania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_Toc153470839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5CCDB23A" w14:textId="0D0C4714" w:rsidR="0097604D" w:rsidRDefault="0097604D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kern w:val="2"/>
              <w:sz w:val="24"/>
              <w:lang w:eastAsia="pl-PL" w:bidi="ar-SA"/>
              <w14:ligatures w14:val="standardContextual"/>
            </w:rPr>
          </w:pPr>
          <w:r>
            <w:rPr>
              <w:noProof/>
            </w:rPr>
            <w:t>działania firm sektora finansowego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_Toc153470840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2E7B3989" w14:textId="7FCBD529" w:rsidR="009E4642" w:rsidRDefault="00816F0E">
          <w:pPr>
            <w:sectPr w:rsidR="009E4642" w:rsidSect="00317ED0">
              <w:headerReference w:type="first" r:id="rId13"/>
              <w:footerReference w:type="first" r:id="rId14"/>
              <w:pgSz w:w="11907" w:h="16839" w:code="9"/>
              <w:pgMar w:top="2520" w:right="1800" w:bottom="1728" w:left="1800" w:header="0" w:footer="720" w:gutter="0"/>
              <w:pgNumType w:fmt="lowerRoman" w:start="1"/>
              <w:cols w:space="720"/>
              <w:titlePg/>
              <w:docGrid w:linePitch="360"/>
            </w:sectPr>
          </w:pPr>
          <w:r>
            <w:rPr>
              <w:rFonts w:asciiTheme="majorHAnsi" w:hAnsiTheme="majorHAnsi"/>
              <w:b/>
              <w:bCs/>
              <w:caps/>
              <w:color w:val="2A2A2A" w:themeColor="text2"/>
              <w:sz w:val="28"/>
            </w:rPr>
            <w:fldChar w:fldCharType="end"/>
          </w:r>
        </w:p>
      </w:sdtContent>
    </w:sdt>
    <w:p w14:paraId="485B0D04" w14:textId="7A4837B4" w:rsidR="009E4642" w:rsidRPr="00E9361F" w:rsidRDefault="00D5616C" w:rsidP="00E9361F">
      <w:pPr>
        <w:pStyle w:val="Nagwek1"/>
        <w:spacing w:before="600" w:after="800"/>
        <w:rPr>
          <w:sz w:val="56"/>
          <w:szCs w:val="56"/>
        </w:rPr>
      </w:pPr>
      <w:bookmarkStart w:id="0" w:name="_Toc153470837"/>
      <w:r>
        <w:rPr>
          <w:sz w:val="56"/>
          <w:szCs w:val="56"/>
        </w:rPr>
        <w:lastRenderedPageBreak/>
        <w:t>Wprowadzenie</w:t>
      </w:r>
      <w:bookmarkEnd w:id="0"/>
    </w:p>
    <w:p w14:paraId="4F9A18A6" w14:textId="7D93974B" w:rsidR="00DA66AB" w:rsidRDefault="00DA66AB" w:rsidP="00DA66AB">
      <w:r>
        <w:t xml:space="preserve">Chociaż prawie każda organizacja wymienia różnorodność jako najwyższą wartość dla niej, osoby z niepełnosprawnością są często pomijane lub niedostatecznie wspierane </w:t>
      </w:r>
      <w:r w:rsidR="00D5616C">
        <w:t>przez</w:t>
      </w:r>
      <w:r>
        <w:t xml:space="preserve"> wielu pracodawców. Stosunkowo bardzo niewiele firm podejmuje inicjatywy mające na celu zatrudnianie osób</w:t>
      </w:r>
      <w:r w:rsidR="00D5616C">
        <w:t xml:space="preserve"> z</w:t>
      </w:r>
      <w:r>
        <w:t xml:space="preserve"> niepełnospraw</w:t>
      </w:r>
      <w:r w:rsidR="00D5616C">
        <w:t>nością</w:t>
      </w:r>
      <w:r>
        <w:t xml:space="preserve"> w sposób strategiczny. W rezultacie tracą oni wspaniałe źródło talentów, a my wszyscy tracimy pełen potencjał ludzi, których umiejętności w jakiś sposób wykraczają poza „standardowe dopasowanie” w naszych miejscach pracy. A przecież budowanie dostępności w miejscu pracy to zmiana środowiska, do którego zapraszamy kandydatów z niepełnosprawnościami. Wiele firm dochodzi do wniosku, że od samego początku możemy projektować nasze środowisko fizyczne, wydarzenia, strony internetowe, a nawet nasz język w sposób, który ułatwi osobom niepełnosprawnym życie i wykorzystanie ich potencjału. Wyzwanie nie leży po ich stronie. Leży w systemach, które nie są zbudowane z myślą o włączeniu i dostępie.</w:t>
      </w:r>
    </w:p>
    <w:p w14:paraId="6020B0F1" w14:textId="43627071" w:rsidR="00E9361F" w:rsidRDefault="00DA66AB" w:rsidP="00DA66AB">
      <w:r>
        <w:t>Posiadanie dobrej polityki włączania osób n</w:t>
      </w:r>
      <w:r w:rsidR="00D5616C">
        <w:t xml:space="preserve"> n</w:t>
      </w:r>
      <w:r>
        <w:t>iepełnosprawn</w:t>
      </w:r>
      <w:r w:rsidR="00D5616C">
        <w:t>ością</w:t>
      </w:r>
      <w:r>
        <w:t xml:space="preserve"> to nie tylko słuszna rzecz, ale w dobie oczekiwań społecznych i regulacyjnych staje się </w:t>
      </w:r>
      <w:r w:rsidR="00D5616C">
        <w:t xml:space="preserve">to </w:t>
      </w:r>
      <w:r>
        <w:t>koniecznością w wielu sektorach biznesu, szczególnie w sektorze usług finansowych.</w:t>
      </w:r>
    </w:p>
    <w:p w14:paraId="70FBF253" w14:textId="0EAE0E5A" w:rsidR="00E9361F" w:rsidRPr="00E9361F" w:rsidRDefault="00D5616C" w:rsidP="00E9361F">
      <w:pPr>
        <w:pStyle w:val="Nagwek1"/>
        <w:spacing w:before="600" w:after="800"/>
        <w:rPr>
          <w:sz w:val="56"/>
          <w:szCs w:val="56"/>
        </w:rPr>
      </w:pPr>
      <w:bookmarkStart w:id="1" w:name="_Toc153470838"/>
      <w:r w:rsidRPr="00D5616C">
        <w:rPr>
          <w:sz w:val="56"/>
          <w:szCs w:val="56"/>
        </w:rPr>
        <w:t>Tło zagadnienia</w:t>
      </w:r>
      <w:bookmarkEnd w:id="1"/>
    </w:p>
    <w:p w14:paraId="47CA31C5" w14:textId="5B2D75F5" w:rsidR="00D5616C" w:rsidRPr="00D5616C" w:rsidRDefault="00D5616C" w:rsidP="00D5616C">
      <w:r w:rsidRPr="00D5616C">
        <w:t xml:space="preserve">W 2023 </w:t>
      </w:r>
      <w:r w:rsidR="00280A09" w:rsidRPr="00D5616C">
        <w:t xml:space="preserve">roku jest </w:t>
      </w:r>
      <w:r w:rsidRPr="00D5616C">
        <w:t xml:space="preserve">oczywistym, że pomimo różnych </w:t>
      </w:r>
      <w:r w:rsidR="00280A09">
        <w:t>międzynarodowych</w:t>
      </w:r>
      <w:r w:rsidR="00280A09" w:rsidRPr="00D5616C">
        <w:t xml:space="preserve"> </w:t>
      </w:r>
      <w:r w:rsidRPr="00D5616C">
        <w:t>przepisów i regulacji dotyczących równości i</w:t>
      </w:r>
      <w:r w:rsidR="009D5DB1">
        <w:t> </w:t>
      </w:r>
      <w:r w:rsidRPr="00D5616C">
        <w:t xml:space="preserve">równego traktowania, w naszym społeczeństwie </w:t>
      </w:r>
      <w:r w:rsidR="00280A09">
        <w:t>nadal</w:t>
      </w:r>
      <w:r w:rsidRPr="00D5616C">
        <w:t xml:space="preserve"> </w:t>
      </w:r>
      <w:r w:rsidR="00280A09">
        <w:t>jest jej</w:t>
      </w:r>
      <w:r w:rsidRPr="00D5616C">
        <w:t xml:space="preserve"> brak</w:t>
      </w:r>
      <w:r w:rsidR="00280A09">
        <w:t xml:space="preserve">. Brakuje również </w:t>
      </w:r>
      <w:r w:rsidRPr="00D5616C">
        <w:t xml:space="preserve">integracji </w:t>
      </w:r>
      <w:r w:rsidR="00280A09">
        <w:t>po</w:t>
      </w:r>
      <w:r w:rsidRPr="00D5616C">
        <w:t xml:space="preserve">między różnymi grupami, </w:t>
      </w:r>
      <w:r w:rsidR="008F1BB8">
        <w:t>nie tylko w obrębie sektora finansowego, ale także szerzej</w:t>
      </w:r>
      <w:r w:rsidRPr="00D5616C">
        <w:t xml:space="preserve">. Niemniej jednak ważne jest, aby sektor prywatny odegrał swoją rolę </w:t>
      </w:r>
      <w:r w:rsidRPr="00D5616C">
        <w:lastRenderedPageBreak/>
        <w:t>w</w:t>
      </w:r>
      <w:r w:rsidR="008F1BB8">
        <w:t> </w:t>
      </w:r>
      <w:r w:rsidRPr="00D5616C">
        <w:t xml:space="preserve">rozwiązaniu problemu negatywnego wpływu, jaki ma to na usługi finansowe, aby poprawić różnorodność i włączenie naszych pracowników. </w:t>
      </w:r>
    </w:p>
    <w:p w14:paraId="32E41AE0" w14:textId="074E9C69" w:rsidR="00D5616C" w:rsidRPr="00D5616C" w:rsidRDefault="00D5616C" w:rsidP="00D5616C">
      <w:r w:rsidRPr="00D5616C">
        <w:t xml:space="preserve">Oto pięć wyzwań stojących przed osobami </w:t>
      </w:r>
      <w:r w:rsidR="009D5DB1">
        <w:t xml:space="preserve">z </w:t>
      </w:r>
      <w:r w:rsidRPr="00D5616C">
        <w:t>niepełnosprawn</w:t>
      </w:r>
      <w:r w:rsidR="009D5DB1">
        <w:t>ościami</w:t>
      </w:r>
      <w:r w:rsidRPr="00D5616C">
        <w:t xml:space="preserve"> w sferze zawodowej, obejmujących zarówno widoczne, jak i</w:t>
      </w:r>
      <w:r w:rsidR="009D5DB1">
        <w:t> </w:t>
      </w:r>
      <w:r w:rsidRPr="00D5616C">
        <w:t xml:space="preserve">niewidoczne </w:t>
      </w:r>
      <w:r w:rsidR="009D5DB1">
        <w:t xml:space="preserve">aspekty </w:t>
      </w:r>
      <w:r w:rsidRPr="00D5616C">
        <w:t>niepełnosprawności:</w:t>
      </w:r>
    </w:p>
    <w:p w14:paraId="73E7C1B6" w14:textId="71FE914B" w:rsidR="00D5616C" w:rsidRPr="00D5616C" w:rsidRDefault="00D5616C" w:rsidP="009D5DB1">
      <w:pPr>
        <w:numPr>
          <w:ilvl w:val="0"/>
          <w:numId w:val="25"/>
        </w:numPr>
      </w:pPr>
      <w:r w:rsidRPr="00D5616C">
        <w:rPr>
          <w:b/>
          <w:bCs/>
        </w:rPr>
        <w:t>Bariery dostępności</w:t>
      </w:r>
      <w:r w:rsidR="009D5DB1">
        <w:t>.</w:t>
      </w:r>
      <w:r w:rsidRPr="00D5616C">
        <w:t xml:space="preserve"> Jednym z istotnych wyzwań stojących przed osobami </w:t>
      </w:r>
      <w:r w:rsidR="009D5DB1">
        <w:t xml:space="preserve">z </w:t>
      </w:r>
      <w:r w:rsidRPr="00D5616C">
        <w:t>niepełnosprawn</w:t>
      </w:r>
      <w:r w:rsidR="009D5DB1">
        <w:t>ościami</w:t>
      </w:r>
      <w:r w:rsidRPr="00D5616C">
        <w:t xml:space="preserve"> jest brak dostępności w różnych aspektach życia. Bariery fizyczne i</w:t>
      </w:r>
      <w:r w:rsidR="009D5DB1">
        <w:t> </w:t>
      </w:r>
      <w:r w:rsidRPr="00D5616C">
        <w:t>architektoniczne, takie jak niedostępne budynki czy usługi, transport publiczny i nieodpowiednie udogodnienia, mogą stanowić poważne wyzwania dla osób z różnymi niepełnosprawnościami, a także z dostępnością cyfrową, w</w:t>
      </w:r>
      <w:r w:rsidR="009D5DB1">
        <w:t> </w:t>
      </w:r>
      <w:r w:rsidRPr="00D5616C">
        <w:t>przypadku której strony i platformy internetowe oraz aplikacje biznesowe mogą nie być zaprojektowane z myślą o osobach z wadami wzroku, słuchu lub funkcji poznawczych.</w:t>
      </w:r>
    </w:p>
    <w:p w14:paraId="0D4A0A43" w14:textId="0D421D61" w:rsidR="00D5616C" w:rsidRPr="00D5616C" w:rsidRDefault="00D5616C" w:rsidP="008F1BB8">
      <w:pPr>
        <w:numPr>
          <w:ilvl w:val="0"/>
          <w:numId w:val="25"/>
        </w:numPr>
      </w:pPr>
      <w:r w:rsidRPr="00D5616C">
        <w:rPr>
          <w:b/>
          <w:bCs/>
        </w:rPr>
        <w:t>Stereotypy i piętno</w:t>
      </w:r>
      <w:r w:rsidR="009D5DB1">
        <w:t>.</w:t>
      </w:r>
      <w:r w:rsidRPr="00D5616C">
        <w:t xml:space="preserve"> Osoby </w:t>
      </w:r>
      <w:r w:rsidR="009D5DB1">
        <w:t xml:space="preserve">z </w:t>
      </w:r>
      <w:r w:rsidRPr="00D5616C">
        <w:t>niepełnosprawn</w:t>
      </w:r>
      <w:r w:rsidR="009D5DB1">
        <w:t>ościami</w:t>
      </w:r>
      <w:r w:rsidRPr="00D5616C">
        <w:t xml:space="preserve"> często spotykają się ze stereotypami i stygmatyzacją, co może prowadzić do wykluczenia społecznego i</w:t>
      </w:r>
      <w:r w:rsidR="009D5DB1">
        <w:t> </w:t>
      </w:r>
      <w:r w:rsidRPr="00D5616C">
        <w:t xml:space="preserve">dyskryminacji. Te negatywne postrzeganie może ograniczać możliwości </w:t>
      </w:r>
      <w:r w:rsidR="009D5DB1">
        <w:t>kształcenia się</w:t>
      </w:r>
      <w:r w:rsidRPr="00D5616C">
        <w:t>, zatrudnienia i</w:t>
      </w:r>
      <w:r w:rsidR="000A05A9">
        <w:t> </w:t>
      </w:r>
      <w:r w:rsidRPr="00D5616C">
        <w:t>uczestnictwa w życiu społecznym. Ważne jest, aby rzucić wyzwanie tym stereotypom i promować bardziej włączające i akceptujące społeczeństwo i organizacj</w:t>
      </w:r>
      <w:r w:rsidR="000A05A9">
        <w:t>e</w:t>
      </w:r>
      <w:r w:rsidRPr="00D5616C">
        <w:t xml:space="preserve">. Wiele młodych osób z niepełnosprawnościami nie otrzymuje odpowiedniego poradnictwa zawodowego przy wyborze kierunku edukacyjnego, a później zawodowego. Wiele osób </w:t>
      </w:r>
      <w:r w:rsidR="000A05A9">
        <w:t xml:space="preserve">z </w:t>
      </w:r>
      <w:r w:rsidRPr="00D5616C">
        <w:t>niepełnosprawn</w:t>
      </w:r>
      <w:r w:rsidR="000A05A9">
        <w:t>ościami</w:t>
      </w:r>
      <w:r w:rsidRPr="00D5616C">
        <w:t xml:space="preserve"> zdobywa kwalifikacje niewłaściwe pod kątem swoich predyspozycji bądź możliwości wykonywania zawodu. </w:t>
      </w:r>
    </w:p>
    <w:p w14:paraId="62B2B311" w14:textId="6EE4985A" w:rsidR="00D5616C" w:rsidRPr="00D5616C" w:rsidRDefault="00D5616C" w:rsidP="008F1BB8">
      <w:pPr>
        <w:numPr>
          <w:ilvl w:val="0"/>
          <w:numId w:val="25"/>
        </w:numPr>
      </w:pPr>
      <w:r w:rsidRPr="00D5616C">
        <w:rPr>
          <w:b/>
          <w:bCs/>
        </w:rPr>
        <w:t>Bariery w zatrudnieniu i ekonomi</w:t>
      </w:r>
      <w:r w:rsidR="000A05A9">
        <w:rPr>
          <w:b/>
          <w:bCs/>
        </w:rPr>
        <w:t>czne</w:t>
      </w:r>
      <w:r w:rsidR="000A05A9">
        <w:t>.</w:t>
      </w:r>
      <w:r w:rsidRPr="00D5616C">
        <w:t xml:space="preserve"> Osoby </w:t>
      </w:r>
      <w:r w:rsidR="000A05A9">
        <w:t>z </w:t>
      </w:r>
      <w:r w:rsidRPr="00D5616C">
        <w:t>niepełnosprawn</w:t>
      </w:r>
      <w:r w:rsidR="000A05A9">
        <w:t>ościami</w:t>
      </w:r>
      <w:r w:rsidRPr="00D5616C">
        <w:t xml:space="preserve"> często napotykają trudności w</w:t>
      </w:r>
      <w:r w:rsidR="000A05A9">
        <w:t> </w:t>
      </w:r>
      <w:r w:rsidRPr="00D5616C">
        <w:t xml:space="preserve">znalezieniu i utrzymaniu zatrudnienia. Uprzedzenia </w:t>
      </w:r>
      <w:r w:rsidRPr="00D5616C">
        <w:lastRenderedPageBreak/>
        <w:t>i</w:t>
      </w:r>
      <w:r w:rsidR="000A05A9">
        <w:t> </w:t>
      </w:r>
      <w:r w:rsidRPr="00D5616C">
        <w:t>błędne przekonania na temat ich ograniczeń mogą utrudniać im dostęp do możliwości zatrudnienia, awansu zawodowego i godziwych wynagrodzeń. Aby skutecznie stawić czoła tym wyzwaniom, pracodawcy powinni zapewnić rozsądne udogodnienia i stworzyć włączające środowisko pracy</w:t>
      </w:r>
      <w:r w:rsidR="000A05A9">
        <w:t>.</w:t>
      </w:r>
      <w:r w:rsidRPr="00D5616C">
        <w:t xml:space="preserve"> </w:t>
      </w:r>
      <w:r w:rsidR="000A05A9">
        <w:t>Konieczne jest również świadome</w:t>
      </w:r>
      <w:r w:rsidRPr="00D5616C">
        <w:t xml:space="preserve"> rozwij</w:t>
      </w:r>
      <w:r w:rsidR="000A05A9">
        <w:t>anie</w:t>
      </w:r>
      <w:r w:rsidRPr="00D5616C">
        <w:t xml:space="preserve"> kultur</w:t>
      </w:r>
      <w:r w:rsidR="000A05A9">
        <w:t>y</w:t>
      </w:r>
      <w:r w:rsidRPr="00D5616C">
        <w:t xml:space="preserve"> swoich organizacji poprzez edukację pracowników na wszystkich szczeblach – od najwyższego kierownictwa i</w:t>
      </w:r>
      <w:r w:rsidR="000A05A9">
        <w:t> </w:t>
      </w:r>
      <w:r w:rsidRPr="00D5616C">
        <w:t>osób decyzyjnych, po kierowników liniowych oraz funkcj</w:t>
      </w:r>
      <w:r w:rsidR="000A05A9">
        <w:t>i</w:t>
      </w:r>
      <w:r w:rsidRPr="00D5616C">
        <w:t xml:space="preserve"> wspierając</w:t>
      </w:r>
      <w:r w:rsidR="000A05A9">
        <w:t>ych, takich</w:t>
      </w:r>
      <w:r w:rsidRPr="00D5616C">
        <w:t xml:space="preserve"> jak rekrutacja, kadry czy działy rozwoju i edukacji.</w:t>
      </w:r>
    </w:p>
    <w:p w14:paraId="36AB912C" w14:textId="508710F1" w:rsidR="00D5616C" w:rsidRPr="00D5616C" w:rsidRDefault="00D5616C" w:rsidP="008F1BB8">
      <w:pPr>
        <w:numPr>
          <w:ilvl w:val="0"/>
          <w:numId w:val="25"/>
        </w:numPr>
      </w:pPr>
      <w:r w:rsidRPr="00D5616C">
        <w:rPr>
          <w:b/>
          <w:bCs/>
        </w:rPr>
        <w:t>Dostęp do opieki zdrowotnej i usług wsparcia</w:t>
      </w:r>
      <w:r w:rsidR="000A05A9">
        <w:t>.</w:t>
      </w:r>
      <w:r w:rsidRPr="00D5616C">
        <w:t xml:space="preserve"> Osoby </w:t>
      </w:r>
      <w:r w:rsidR="000A05A9">
        <w:t xml:space="preserve">z </w:t>
      </w:r>
      <w:r w:rsidRPr="00D5616C">
        <w:t>niepełnosprawn</w:t>
      </w:r>
      <w:r w:rsidR="000A05A9">
        <w:t>ościami</w:t>
      </w:r>
      <w:r w:rsidRPr="00D5616C">
        <w:t>, zwłaszcza te z niewidoczną niepełnosprawnością, mogą napotykać przeszkody w</w:t>
      </w:r>
      <w:r w:rsidR="000A05A9">
        <w:t> </w:t>
      </w:r>
      <w:r w:rsidRPr="00D5616C">
        <w:t>dostępie do odpowiednich usług opieki zdrowotnej i</w:t>
      </w:r>
      <w:r w:rsidR="000A05A9">
        <w:t> </w:t>
      </w:r>
      <w:r w:rsidRPr="00D5616C">
        <w:t>wsparcia, nawet w obszarze prywatnego sektora usług medycznych. Może to wynikać z braku wyspecjalizowanych podmiotów świadczących opiekę zdrowotną, ograniczonej dostępności urządzeń lub technologii wspomagających oraz niewystarczającego przeszkolenia personelu medycznego w</w:t>
      </w:r>
      <w:r w:rsidR="000A05A9">
        <w:t> </w:t>
      </w:r>
      <w:r w:rsidRPr="00D5616C">
        <w:t xml:space="preserve">zakresie zaspokajania </w:t>
      </w:r>
      <w:r w:rsidR="000A05A9">
        <w:t>szczególnych</w:t>
      </w:r>
      <w:r w:rsidR="000A05A9" w:rsidRPr="00D5616C">
        <w:t xml:space="preserve"> </w:t>
      </w:r>
      <w:r w:rsidRPr="00D5616C">
        <w:t xml:space="preserve">potrzeb osób </w:t>
      </w:r>
      <w:r w:rsidR="000A05A9">
        <w:t xml:space="preserve">z </w:t>
      </w:r>
      <w:r w:rsidRPr="00D5616C">
        <w:t>niepełnospraw</w:t>
      </w:r>
      <w:r w:rsidR="000A05A9">
        <w:t>nościami</w:t>
      </w:r>
      <w:r w:rsidRPr="00D5616C">
        <w:t>. Zapewnienie kompleksowych i</w:t>
      </w:r>
      <w:r w:rsidR="000A05A9">
        <w:t> </w:t>
      </w:r>
      <w:r w:rsidRPr="00D5616C">
        <w:t>włączających usług opieki zdrowotnej ma kluczowe znaczenie dla ich dobrostanu</w:t>
      </w:r>
      <w:r w:rsidR="000A05A9">
        <w:t>.</w:t>
      </w:r>
    </w:p>
    <w:p w14:paraId="6EED11EF" w14:textId="78909077" w:rsidR="00D5616C" w:rsidRPr="00D5616C" w:rsidRDefault="00D5616C" w:rsidP="00D5616C">
      <w:pPr>
        <w:numPr>
          <w:ilvl w:val="0"/>
          <w:numId w:val="25"/>
        </w:numPr>
      </w:pPr>
      <w:r w:rsidRPr="00D5616C">
        <w:rPr>
          <w:b/>
          <w:bCs/>
        </w:rPr>
        <w:t>Skutki społeczne i psychologiczne</w:t>
      </w:r>
      <w:r w:rsidR="000A05A9">
        <w:rPr>
          <w:b/>
          <w:bCs/>
        </w:rPr>
        <w:t>.</w:t>
      </w:r>
      <w:r w:rsidRPr="00D5616C">
        <w:t xml:space="preserve"> Niepełnosprawność może mieć głęboki wpływ na zdrowie psychiczne i ogólne samopoczucie jednostki. Wyzwania związane z życiem z</w:t>
      </w:r>
      <w:r w:rsidR="000A05A9">
        <w:t> </w:t>
      </w:r>
      <w:r w:rsidRPr="00D5616C">
        <w:t xml:space="preserve">niepełnosprawnością, takie jak ograniczona mobilność, chroniczny ból, izolacja społeczna </w:t>
      </w:r>
      <w:r w:rsidR="000A05A9">
        <w:t>oraz</w:t>
      </w:r>
      <w:r w:rsidRPr="00D5616C">
        <w:t xml:space="preserve"> bariery w</w:t>
      </w:r>
      <w:r w:rsidR="000A05A9">
        <w:t> </w:t>
      </w:r>
      <w:r w:rsidRPr="00D5616C">
        <w:t>uczestnictwie, mogą prowadzić do zwiększonego poziomu lęku, depresji i poczucia niskiej samooceny. Niezwykle istotne jest promowanie świadomości dotyczącej zdrowia psychicznego i zapewnienie odpowiednich systemów wsparcia osobom</w:t>
      </w:r>
      <w:r w:rsidR="000A05A9">
        <w:t xml:space="preserve"> z</w:t>
      </w:r>
      <w:r w:rsidRPr="00D5616C">
        <w:t xml:space="preserve"> niepełnosprawn</w:t>
      </w:r>
      <w:r w:rsidR="000A05A9">
        <w:t>ościami</w:t>
      </w:r>
      <w:r w:rsidRPr="00D5616C">
        <w:t xml:space="preserve">. Dlatego też bardziej świadomi pracodawcy oferują </w:t>
      </w:r>
      <w:r w:rsidRPr="00D5616C">
        <w:lastRenderedPageBreak/>
        <w:t>pracownikom z niepełnosprawnościami dodatkowe usługi wspierające by minimalizować dysproporcje i wyrównywać ich szanse na adekwatny rozwój kariery. U wielu pracodawców nawet wewnętrzne programy wspierające cieszą się dużym zainteresowaniem wśród kadry z</w:t>
      </w:r>
      <w:r w:rsidR="000A05A9">
        <w:t> </w:t>
      </w:r>
      <w:r w:rsidRPr="00D5616C">
        <w:t>orzeczeniami</w:t>
      </w:r>
      <w:r w:rsidR="000A05A9">
        <w:t xml:space="preserve"> niepełnosprawnościami – warto tutaj wskazać na takie działania, jak</w:t>
      </w:r>
      <w:r w:rsidRPr="00D5616C">
        <w:t xml:space="preserve"> </w:t>
      </w:r>
      <w:r w:rsidR="000A05A9">
        <w:t xml:space="preserve">np. </w:t>
      </w:r>
      <w:r w:rsidRPr="00D5616C">
        <w:t xml:space="preserve">mentoring starszych stażem pracowników z niepełnosprawnościami dla młodszych rangą pracowników z niepełnosprawnościami. </w:t>
      </w:r>
    </w:p>
    <w:p w14:paraId="04D982AD" w14:textId="77777777" w:rsidR="00642B44" w:rsidRDefault="00642B44" w:rsidP="000A05A9"/>
    <w:p w14:paraId="7E517F03" w14:textId="5D030AC2" w:rsidR="000A05A9" w:rsidRDefault="000A05A9" w:rsidP="000A05A9">
      <w:r>
        <w:t xml:space="preserve">W lipcu 2021 roku w dokumentach konsultacyjnych Komisji Nadzoru Finansowego w Wielkiej Brytanii (UK FCA) można znaleźć uzasadnienie dla konieczności włączania osób niepełnosprawnych do miejsca pracy: </w:t>
      </w:r>
    </w:p>
    <w:p w14:paraId="0864E611" w14:textId="1243B0AC" w:rsidR="000A05A9" w:rsidRPr="003667D4" w:rsidRDefault="000A05A9" w:rsidP="004764FF">
      <w:pPr>
        <w:ind w:left="284" w:right="369"/>
        <w:rPr>
          <w:color w:val="C00000"/>
        </w:rPr>
      </w:pPr>
      <w:r w:rsidRPr="003667D4">
        <w:rPr>
          <w:rStyle w:val="Uwydatnienie"/>
          <w:color w:val="C00000"/>
        </w:rPr>
        <w:t>Badania wykazują istnienie korelacji między różnorodnością i włączeniem a pozytywnymi wynikami w zakresie zarządzania ryzykiem, dobrego postępowania, zdrowej kultury pracy i</w:t>
      </w:r>
      <w:r w:rsidR="004764FF" w:rsidRPr="003667D4">
        <w:rPr>
          <w:rStyle w:val="Uwydatnienie"/>
          <w:color w:val="C00000"/>
        </w:rPr>
        <w:t> </w:t>
      </w:r>
      <w:r w:rsidRPr="003667D4">
        <w:rPr>
          <w:rStyle w:val="Uwydatnienie"/>
          <w:color w:val="C00000"/>
        </w:rPr>
        <w:t>innowacji. Wyniki te bezpośrednio przyczyniają się do stabilności, uczciwości i</w:t>
      </w:r>
      <w:r w:rsidR="00642B44" w:rsidRPr="003667D4">
        <w:rPr>
          <w:rStyle w:val="Uwydatnienie"/>
          <w:color w:val="C00000"/>
        </w:rPr>
        <w:t> </w:t>
      </w:r>
      <w:r w:rsidRPr="003667D4">
        <w:rPr>
          <w:rStyle w:val="Uwydatnienie"/>
          <w:color w:val="C00000"/>
        </w:rPr>
        <w:t>efektywności firm, rynków i</w:t>
      </w:r>
      <w:r w:rsidR="004764FF" w:rsidRPr="003667D4">
        <w:rPr>
          <w:rStyle w:val="Uwydatnienie"/>
          <w:color w:val="C00000"/>
        </w:rPr>
        <w:t> </w:t>
      </w:r>
      <w:r w:rsidRPr="003667D4">
        <w:rPr>
          <w:rStyle w:val="Uwydatnienie"/>
          <w:color w:val="C00000"/>
        </w:rPr>
        <w:t>infrastruktury, które razem tworzą sektor finansowy. Dlatego też firmy świadczące usługi finansowe i</w:t>
      </w:r>
      <w:r w:rsidR="00642B44" w:rsidRPr="003667D4">
        <w:rPr>
          <w:rStyle w:val="Uwydatnienie"/>
          <w:color w:val="C00000"/>
        </w:rPr>
        <w:t> </w:t>
      </w:r>
      <w:r w:rsidRPr="003667D4">
        <w:rPr>
          <w:rStyle w:val="Uwydatnienie"/>
          <w:color w:val="C00000"/>
        </w:rPr>
        <w:t>organy regulacyjne mają wspólny interes w przejściu w stronę bardziej zróżnicowanej i włączającej branży. Z podobnych powodów inne organy regulacyjne również wykazują coraz większe zainteresowanie różnorodnością i włączeniem</w:t>
      </w:r>
      <w:r w:rsidRPr="003667D4">
        <w:rPr>
          <w:color w:val="C00000"/>
        </w:rPr>
        <w:t>.</w:t>
      </w:r>
    </w:p>
    <w:p w14:paraId="21DAD8F8" w14:textId="37116AAA" w:rsidR="000A05A9" w:rsidRDefault="00474A7D" w:rsidP="000A05A9">
      <w:r>
        <w:t>J</w:t>
      </w:r>
      <w:r w:rsidR="000A05A9">
        <w:t xml:space="preserve">ednak pomimo lat dyskusji i wielu badań naukowych, </w:t>
      </w:r>
      <w:r>
        <w:t>wdrożenia rozwiązań w zakresie</w:t>
      </w:r>
      <w:r w:rsidR="000A05A9">
        <w:t xml:space="preserve"> różnorodności i włączenia społecznego </w:t>
      </w:r>
      <w:r>
        <w:t>są</w:t>
      </w:r>
      <w:r w:rsidR="000A05A9">
        <w:t xml:space="preserve"> wciąż </w:t>
      </w:r>
      <w:proofErr w:type="spellStart"/>
      <w:r>
        <w:t>niewystarczjące</w:t>
      </w:r>
      <w:proofErr w:type="spellEnd"/>
      <w:r w:rsidR="000A05A9">
        <w:t xml:space="preserve">. Rozmowy zwykle dotyczą różnorodności, a nie samego włączenia (ponieważ różnorodność jest łatwiejsza do osiągnięcia i zmierzenia). Ograniczone dane (np. identyfikacja własnej tożsamości – </w:t>
      </w:r>
      <w:proofErr w:type="spellStart"/>
      <w:r w:rsidR="000A05A9">
        <w:t>Self</w:t>
      </w:r>
      <w:proofErr w:type="spellEnd"/>
      <w:r w:rsidR="000A05A9">
        <w:t xml:space="preserve">-ID) utrudniają prowadzenie wysokiej jakości badań nad różnorodnością we wszystkich obszarach. Nadal </w:t>
      </w:r>
      <w:r w:rsidR="00642B44">
        <w:t xml:space="preserve">w stosowanych rozwiązaniach </w:t>
      </w:r>
      <w:r w:rsidR="000A05A9">
        <w:t xml:space="preserve">polegamy na </w:t>
      </w:r>
      <w:r w:rsidR="00642B44">
        <w:t xml:space="preserve">opiniach </w:t>
      </w:r>
      <w:r w:rsidR="000A05A9">
        <w:t>członk</w:t>
      </w:r>
      <w:r w:rsidR="00642B44">
        <w:t>ów</w:t>
      </w:r>
      <w:r w:rsidR="000A05A9">
        <w:t xml:space="preserve"> grup </w:t>
      </w:r>
      <w:proofErr w:type="spellStart"/>
      <w:r w:rsidR="000A05A9">
        <w:lastRenderedPageBreak/>
        <w:t>defaworyzowanych</w:t>
      </w:r>
      <w:proofErr w:type="spellEnd"/>
      <w:r w:rsidR="000A05A9">
        <w:t xml:space="preserve">, którzy wyrażają problem i </w:t>
      </w:r>
      <w:r>
        <w:t xml:space="preserve">sami </w:t>
      </w:r>
      <w:r w:rsidR="000A05A9">
        <w:t>projektują dla nas rozwiązania.</w:t>
      </w:r>
    </w:p>
    <w:p w14:paraId="6172D000" w14:textId="2DB926EF" w:rsidR="00642B44" w:rsidRDefault="000A05A9" w:rsidP="000A05A9">
      <w:r>
        <w:t>Jednakże widać wyraźn</w:t>
      </w:r>
      <w:r w:rsidR="00642B44">
        <w:t>e</w:t>
      </w:r>
      <w:r>
        <w:t xml:space="preserve"> </w:t>
      </w:r>
      <w:r w:rsidR="00642B44">
        <w:t xml:space="preserve">przyspieszenie </w:t>
      </w:r>
      <w:r>
        <w:t>zmian, któr</w:t>
      </w:r>
      <w:r w:rsidR="00474A7D">
        <w:t>ych</w:t>
      </w:r>
      <w:r w:rsidR="00642B44">
        <w:t xml:space="preserve"> impet</w:t>
      </w:r>
      <w:r>
        <w:t xml:space="preserve"> nabiera tempa na całym świecie. Kwestie środowiskowe, społeczne i</w:t>
      </w:r>
      <w:r w:rsidR="00642B44">
        <w:t> </w:t>
      </w:r>
      <w:r>
        <w:t xml:space="preserve">ładu korporacyjnego (ESG) zajmują pierwsze miejsce w programie działań korporacji, inwestorów i </w:t>
      </w:r>
      <w:r w:rsidR="00474A7D">
        <w:t xml:space="preserve">całego </w:t>
      </w:r>
      <w:r>
        <w:t>społeczeństwa, a m.in. sektor finansowy odgrywa wiodącą rolę w wielu dyskusjach na temat ESG i korzysta z głosu lobbystów niepełnosprawności na posiedzeniach zarządu spółek. Niewątpliwie takie działania pomogą utrzymać różnorodność i włączenie w centrum uwagi zarządów, kadry kierowniczej i niższego personelu.</w:t>
      </w:r>
    </w:p>
    <w:p w14:paraId="2198A2F3" w14:textId="2F6AC63D" w:rsidR="00642B44" w:rsidRPr="00642B44" w:rsidRDefault="00642B44" w:rsidP="00642B44">
      <w:pPr>
        <w:pStyle w:val="Nagwek1"/>
        <w:spacing w:before="600" w:after="800"/>
        <w:rPr>
          <w:sz w:val="56"/>
          <w:szCs w:val="56"/>
        </w:rPr>
      </w:pPr>
      <w:bookmarkStart w:id="2" w:name="_Toc153470839"/>
      <w:r>
        <w:rPr>
          <w:sz w:val="56"/>
          <w:szCs w:val="56"/>
        </w:rPr>
        <w:t>POdejmowane działania</w:t>
      </w:r>
      <w:bookmarkEnd w:id="2"/>
    </w:p>
    <w:p w14:paraId="24ADA8A8" w14:textId="18332F6E" w:rsidR="00642B44" w:rsidRDefault="00642B44" w:rsidP="00642B44">
      <w:r>
        <w:t xml:space="preserve">Firmy, które nie zwracają uwagi na różnorodne grupy, ryzykują pojawienie się sytuacji dyskryminujących. Z badania brytyjskiego Business </w:t>
      </w:r>
      <w:proofErr w:type="spellStart"/>
      <w:r>
        <w:t>Disability</w:t>
      </w:r>
      <w:proofErr w:type="spellEnd"/>
      <w:r>
        <w:t xml:space="preserve"> Forum przeprowadzonego w 2020 roku wynika, że ponad 80% firm na całym świecie stwierdziło, że programy włączania osób z niepełnosprawnościami umożliwiają im dostęp do szerszej puli talentów, zwiększają motywację pracowników, mają wpływ na sprzedaż i możliwości rozwoju oraz wspierają bezpośrednio cele biznesowe. Dziś w poszukiwaniu </w:t>
      </w:r>
      <w:r w:rsidR="00474A7D">
        <w:t xml:space="preserve">pracowników </w:t>
      </w:r>
      <w:r>
        <w:t xml:space="preserve">różne sektory nie mogą sobie pozwolić na wykluczenie znacznej części </w:t>
      </w:r>
      <w:r w:rsidR="00474A7D">
        <w:t xml:space="preserve">dostępnej </w:t>
      </w:r>
      <w:r>
        <w:t>puli talentów. Udowodniono, że różnorodne firmy i zespoły odnoszą większy sukces: reprezentacja i włączenie odzwierciedlają szerszy zakres doświadczeń i punktów widzenia, co prowadzi do lepszego projektowania produktów i usług, a także lepszego podejmowania decyzji. Chodzi także o utrzymanie pracowników z niepełnosprawnościami, którzy czują</w:t>
      </w:r>
      <w:r w:rsidR="00474A7D">
        <w:t>c</w:t>
      </w:r>
      <w:r>
        <w:t xml:space="preserve"> się wspierani, rzadziej będą szukać innej pracy, w przypadku której istnieje ryzyko rezygnacji z otrzymywanego wsparcia.</w:t>
      </w:r>
    </w:p>
    <w:p w14:paraId="352BE86F" w14:textId="77777777" w:rsidR="00642B44" w:rsidRDefault="00642B44" w:rsidP="00642B44"/>
    <w:p w14:paraId="7080B506" w14:textId="23B73E52" w:rsidR="00642B44" w:rsidRDefault="00642B44" w:rsidP="00642B44">
      <w:r>
        <w:t xml:space="preserve">Należy również wspomnieć, że 83% niepełnosprawności nabywa się w trakcie życia, tj. nie występują od urodzenia, dlatego wielu pracowników, członków ich </w:t>
      </w:r>
      <w:r w:rsidR="007D23C9">
        <w:t>rodzin</w:t>
      </w:r>
      <w:r>
        <w:t xml:space="preserve"> lub przyjaciół nabędzie w trakcie kariery zawodowej jakąś formę zaburzeń psychicznych lub fizycznych, bądź niepełnosprawnoś</w:t>
      </w:r>
      <w:r w:rsidR="00474A7D">
        <w:t>ci</w:t>
      </w:r>
      <w:r>
        <w:t>, dlatego musimy wspierać personel przez cały cykl zatrudnienia.</w:t>
      </w:r>
    </w:p>
    <w:p w14:paraId="14ADAB0E" w14:textId="2F10E71A" w:rsidR="00642B44" w:rsidRDefault="00642B44" w:rsidP="00642B44">
      <w:r>
        <w:t xml:space="preserve">W wielu firmach sieci pracownicze działające na rzecz osób z niepełnosprawnościami (np. </w:t>
      </w:r>
      <w:proofErr w:type="spellStart"/>
      <w:r>
        <w:t>Disability</w:t>
      </w:r>
      <w:proofErr w:type="spellEnd"/>
      <w:r>
        <w:t xml:space="preserve"> </w:t>
      </w:r>
      <w:proofErr w:type="spellStart"/>
      <w:r>
        <w:t>Awareness</w:t>
      </w:r>
      <w:proofErr w:type="spellEnd"/>
      <w:r>
        <w:t xml:space="preserve"> Alliance / </w:t>
      </w:r>
      <w:proofErr w:type="spellStart"/>
      <w:r>
        <w:t>Ability</w:t>
      </w:r>
      <w:proofErr w:type="spellEnd"/>
      <w:r>
        <w:t xml:space="preserve"> </w:t>
      </w:r>
      <w:proofErr w:type="spellStart"/>
      <w:r>
        <w:t>Employee</w:t>
      </w:r>
      <w:proofErr w:type="spellEnd"/>
      <w:r>
        <w:t xml:space="preserve"> Networks) czyli grupy zasobów pracowniczych (ERG), zapewniają wsparcie i narzędzia (programy i inicjatywy) zarówno pracownikom </w:t>
      </w:r>
      <w:r w:rsidR="007D23C9">
        <w:t xml:space="preserve">z </w:t>
      </w:r>
      <w:r>
        <w:t>niepełnosprawn</w:t>
      </w:r>
      <w:r w:rsidR="007D23C9">
        <w:t>ościami</w:t>
      </w:r>
      <w:r>
        <w:t xml:space="preserve">, jak i opiekunom wspierającym </w:t>
      </w:r>
      <w:r w:rsidR="007D23C9">
        <w:t xml:space="preserve">takie </w:t>
      </w:r>
      <w:r>
        <w:t xml:space="preserve">osoby. Nierzadko sieci </w:t>
      </w:r>
      <w:r w:rsidR="007D23C9">
        <w:t xml:space="preserve">te </w:t>
      </w:r>
      <w:r>
        <w:t>są wspierane przez globalne programy wsparcia dla osób z niepełnosprawnościami i strategiczne programy firm (</w:t>
      </w:r>
      <w:proofErr w:type="spellStart"/>
      <w:r>
        <w:t>Disablity</w:t>
      </w:r>
      <w:proofErr w:type="spellEnd"/>
      <w:r>
        <w:t xml:space="preserve"> </w:t>
      </w:r>
      <w:proofErr w:type="spellStart"/>
      <w:r>
        <w:t>Taskforce</w:t>
      </w:r>
      <w:proofErr w:type="spellEnd"/>
      <w:r>
        <w:t>), których głównym celem jest wspieranie następujących kluczowych działań:</w:t>
      </w:r>
    </w:p>
    <w:p w14:paraId="0B0F5B16" w14:textId="02B25A87" w:rsidR="004474F0" w:rsidRPr="004474F0" w:rsidRDefault="004474F0" w:rsidP="004474F0">
      <w:pPr>
        <w:pStyle w:val="Listapunktowana"/>
        <w:numPr>
          <w:ilvl w:val="0"/>
          <w:numId w:val="28"/>
        </w:numPr>
        <w:ind w:left="993" w:hanging="426"/>
        <w:rPr>
          <w:i w:val="0"/>
          <w:iCs/>
        </w:rPr>
      </w:pPr>
      <w:r w:rsidRPr="004474F0">
        <w:rPr>
          <w:i w:val="0"/>
          <w:iCs/>
        </w:rPr>
        <w:t>Umożliwienie dostosowania miejsca pracy w celu zagwarantowania dostępności pracy w organizacji dla wysoko wykwalifikowanych talentów z niepełnosprawnością.</w:t>
      </w:r>
    </w:p>
    <w:p w14:paraId="672611D6" w14:textId="367E90A9" w:rsidR="004474F0" w:rsidRPr="004474F0" w:rsidRDefault="004474F0" w:rsidP="004474F0">
      <w:pPr>
        <w:pStyle w:val="Listapunktowana"/>
        <w:numPr>
          <w:ilvl w:val="0"/>
          <w:numId w:val="28"/>
        </w:numPr>
        <w:ind w:left="993" w:hanging="426"/>
        <w:rPr>
          <w:i w:val="0"/>
          <w:iCs/>
        </w:rPr>
      </w:pPr>
      <w:r w:rsidRPr="004474F0">
        <w:rPr>
          <w:i w:val="0"/>
          <w:iCs/>
        </w:rPr>
        <w:t>Identyfikacja i zmiana procesów wspierających nieświadome uprzedzenia – zwalczanie stereotypów i</w:t>
      </w:r>
      <w:r>
        <w:rPr>
          <w:i w:val="0"/>
          <w:iCs/>
        </w:rPr>
        <w:t> </w:t>
      </w:r>
      <w:r w:rsidRPr="004474F0">
        <w:rPr>
          <w:i w:val="0"/>
          <w:iCs/>
        </w:rPr>
        <w:t>uprzedzeń na temat niepełnosprawności poprzez szkolenia i ciągłą edukację wszystkich pracowników.</w:t>
      </w:r>
    </w:p>
    <w:p w14:paraId="3A873D72" w14:textId="1151523D" w:rsidR="004474F0" w:rsidRPr="004474F0" w:rsidRDefault="004474F0" w:rsidP="004474F0">
      <w:pPr>
        <w:pStyle w:val="Listapunktowana"/>
        <w:numPr>
          <w:ilvl w:val="0"/>
          <w:numId w:val="28"/>
        </w:numPr>
        <w:ind w:left="993" w:hanging="426"/>
        <w:rPr>
          <w:i w:val="0"/>
          <w:iCs/>
        </w:rPr>
      </w:pPr>
      <w:r w:rsidRPr="004474F0">
        <w:rPr>
          <w:i w:val="0"/>
          <w:iCs/>
        </w:rPr>
        <w:t>Pom</w:t>
      </w:r>
      <w:r>
        <w:rPr>
          <w:i w:val="0"/>
          <w:iCs/>
        </w:rPr>
        <w:t>oc dla</w:t>
      </w:r>
      <w:r w:rsidRPr="004474F0">
        <w:rPr>
          <w:i w:val="0"/>
          <w:iCs/>
        </w:rPr>
        <w:t xml:space="preserve"> ogół</w:t>
      </w:r>
      <w:r>
        <w:rPr>
          <w:i w:val="0"/>
          <w:iCs/>
        </w:rPr>
        <w:t>u</w:t>
      </w:r>
      <w:r w:rsidRPr="004474F0">
        <w:rPr>
          <w:i w:val="0"/>
          <w:iCs/>
        </w:rPr>
        <w:t xml:space="preserve"> pracowników </w:t>
      </w:r>
      <w:r>
        <w:rPr>
          <w:i w:val="0"/>
          <w:iCs/>
        </w:rPr>
        <w:t xml:space="preserve">w </w:t>
      </w:r>
      <w:r w:rsidRPr="004474F0">
        <w:rPr>
          <w:i w:val="0"/>
          <w:iCs/>
        </w:rPr>
        <w:t>zrozumie</w:t>
      </w:r>
      <w:r>
        <w:rPr>
          <w:i w:val="0"/>
          <w:iCs/>
        </w:rPr>
        <w:t>niu</w:t>
      </w:r>
      <w:r w:rsidRPr="004474F0">
        <w:rPr>
          <w:i w:val="0"/>
          <w:iCs/>
        </w:rPr>
        <w:t xml:space="preserve"> wyzwa</w:t>
      </w:r>
      <w:r>
        <w:rPr>
          <w:i w:val="0"/>
          <w:iCs/>
        </w:rPr>
        <w:t>ń</w:t>
      </w:r>
      <w:r w:rsidRPr="004474F0">
        <w:rPr>
          <w:i w:val="0"/>
          <w:iCs/>
        </w:rPr>
        <w:t xml:space="preserve"> stojąc</w:t>
      </w:r>
      <w:r>
        <w:rPr>
          <w:i w:val="0"/>
          <w:iCs/>
        </w:rPr>
        <w:t>ych</w:t>
      </w:r>
      <w:r w:rsidRPr="004474F0">
        <w:rPr>
          <w:i w:val="0"/>
          <w:iCs/>
        </w:rPr>
        <w:t xml:space="preserve"> przed osobami </w:t>
      </w:r>
      <w:r>
        <w:rPr>
          <w:i w:val="0"/>
          <w:iCs/>
        </w:rPr>
        <w:t xml:space="preserve">z </w:t>
      </w:r>
      <w:r w:rsidRPr="004474F0">
        <w:rPr>
          <w:i w:val="0"/>
          <w:iCs/>
        </w:rPr>
        <w:t>niepełnosprawn</w:t>
      </w:r>
      <w:r>
        <w:rPr>
          <w:i w:val="0"/>
          <w:iCs/>
        </w:rPr>
        <w:t>ościami, co</w:t>
      </w:r>
      <w:r w:rsidRPr="004474F0">
        <w:rPr>
          <w:i w:val="0"/>
          <w:iCs/>
        </w:rPr>
        <w:t xml:space="preserve"> przyczynia się do ich rozwiązywania. Tworz</w:t>
      </w:r>
      <w:r>
        <w:rPr>
          <w:i w:val="0"/>
          <w:iCs/>
        </w:rPr>
        <w:t>enie</w:t>
      </w:r>
      <w:r w:rsidRPr="004474F0">
        <w:rPr>
          <w:i w:val="0"/>
          <w:iCs/>
        </w:rPr>
        <w:t xml:space="preserve"> wzajemnie wspierając</w:t>
      </w:r>
      <w:r>
        <w:rPr>
          <w:i w:val="0"/>
          <w:iCs/>
        </w:rPr>
        <w:t>ej</w:t>
      </w:r>
      <w:r w:rsidRPr="004474F0">
        <w:rPr>
          <w:i w:val="0"/>
          <w:iCs/>
        </w:rPr>
        <w:t xml:space="preserve"> się społeczność poprzez programy sponsorskie i </w:t>
      </w:r>
      <w:proofErr w:type="spellStart"/>
      <w:r w:rsidRPr="004474F0">
        <w:rPr>
          <w:i w:val="0"/>
          <w:iCs/>
        </w:rPr>
        <w:t>mentoringowe</w:t>
      </w:r>
      <w:proofErr w:type="spellEnd"/>
      <w:r w:rsidRPr="004474F0">
        <w:rPr>
          <w:i w:val="0"/>
          <w:iCs/>
        </w:rPr>
        <w:t xml:space="preserve"> </w:t>
      </w:r>
      <w:r>
        <w:rPr>
          <w:i w:val="0"/>
          <w:iCs/>
        </w:rPr>
        <w:t>na rzecz</w:t>
      </w:r>
      <w:r w:rsidRPr="004474F0">
        <w:rPr>
          <w:i w:val="0"/>
          <w:iCs/>
        </w:rPr>
        <w:t xml:space="preserve"> personel</w:t>
      </w:r>
      <w:r>
        <w:rPr>
          <w:i w:val="0"/>
          <w:iCs/>
        </w:rPr>
        <w:t>u</w:t>
      </w:r>
      <w:r w:rsidRPr="004474F0">
        <w:rPr>
          <w:i w:val="0"/>
          <w:iCs/>
        </w:rPr>
        <w:t xml:space="preserve"> z</w:t>
      </w:r>
      <w:r>
        <w:rPr>
          <w:i w:val="0"/>
          <w:iCs/>
        </w:rPr>
        <w:t> </w:t>
      </w:r>
      <w:r w:rsidRPr="004474F0">
        <w:rPr>
          <w:i w:val="0"/>
          <w:iCs/>
        </w:rPr>
        <w:t>niepełnosprawnościami.</w:t>
      </w:r>
    </w:p>
    <w:p w14:paraId="1147F5AA" w14:textId="706E904E" w:rsidR="00642B44" w:rsidRPr="004474F0" w:rsidRDefault="004474F0" w:rsidP="004474F0">
      <w:pPr>
        <w:pStyle w:val="Listapunktowana"/>
        <w:numPr>
          <w:ilvl w:val="0"/>
          <w:numId w:val="28"/>
        </w:numPr>
        <w:ind w:left="993" w:hanging="426"/>
        <w:rPr>
          <w:i w:val="0"/>
          <w:iCs/>
        </w:rPr>
      </w:pPr>
      <w:r w:rsidRPr="004474F0">
        <w:rPr>
          <w:i w:val="0"/>
          <w:iCs/>
        </w:rPr>
        <w:t>Wzmocn</w:t>
      </w:r>
      <w:r>
        <w:rPr>
          <w:i w:val="0"/>
          <w:iCs/>
        </w:rPr>
        <w:t>ienie</w:t>
      </w:r>
      <w:r w:rsidRPr="004474F0">
        <w:rPr>
          <w:i w:val="0"/>
          <w:iCs/>
        </w:rPr>
        <w:t xml:space="preserve"> wpływ</w:t>
      </w:r>
      <w:r>
        <w:rPr>
          <w:i w:val="0"/>
          <w:iCs/>
        </w:rPr>
        <w:t>u</w:t>
      </w:r>
      <w:r w:rsidRPr="004474F0">
        <w:rPr>
          <w:i w:val="0"/>
          <w:iCs/>
        </w:rPr>
        <w:t xml:space="preserve"> społeczn</w:t>
      </w:r>
      <w:r>
        <w:rPr>
          <w:i w:val="0"/>
          <w:iCs/>
        </w:rPr>
        <w:t>ego</w:t>
      </w:r>
      <w:r w:rsidRPr="004474F0">
        <w:rPr>
          <w:i w:val="0"/>
          <w:iCs/>
        </w:rPr>
        <w:t xml:space="preserve"> organizacji </w:t>
      </w:r>
      <w:r w:rsidR="00474A7D">
        <w:rPr>
          <w:i w:val="0"/>
          <w:iCs/>
        </w:rPr>
        <w:t>w ramach</w:t>
      </w:r>
      <w:r w:rsidRPr="004474F0">
        <w:rPr>
          <w:i w:val="0"/>
          <w:iCs/>
        </w:rPr>
        <w:t xml:space="preserve"> współprac</w:t>
      </w:r>
      <w:r w:rsidR="00474A7D">
        <w:rPr>
          <w:i w:val="0"/>
          <w:iCs/>
        </w:rPr>
        <w:t>y</w:t>
      </w:r>
      <w:r w:rsidRPr="004474F0">
        <w:rPr>
          <w:i w:val="0"/>
          <w:iCs/>
        </w:rPr>
        <w:t xml:space="preserve"> z grupami społecznymi i organizacjami partnerskimi poprzez wolontariat </w:t>
      </w:r>
      <w:r w:rsidR="00474A7D">
        <w:rPr>
          <w:i w:val="0"/>
          <w:iCs/>
        </w:rPr>
        <w:t>zwiększający</w:t>
      </w:r>
      <w:r w:rsidRPr="004474F0">
        <w:rPr>
          <w:i w:val="0"/>
          <w:iCs/>
        </w:rPr>
        <w:t xml:space="preserve"> szanse na zatrudnienie i dobrostan osób </w:t>
      </w:r>
      <w:r>
        <w:rPr>
          <w:i w:val="0"/>
          <w:iCs/>
        </w:rPr>
        <w:t xml:space="preserve">z </w:t>
      </w:r>
      <w:r w:rsidRPr="004474F0">
        <w:rPr>
          <w:i w:val="0"/>
          <w:iCs/>
        </w:rPr>
        <w:t>niepełnosprawn</w:t>
      </w:r>
      <w:r>
        <w:rPr>
          <w:i w:val="0"/>
          <w:iCs/>
        </w:rPr>
        <w:t>ościami</w:t>
      </w:r>
      <w:r w:rsidRPr="004474F0">
        <w:rPr>
          <w:i w:val="0"/>
          <w:iCs/>
        </w:rPr>
        <w:t>.</w:t>
      </w:r>
    </w:p>
    <w:p w14:paraId="3A00C014" w14:textId="77777777" w:rsidR="004474F0" w:rsidRDefault="004474F0" w:rsidP="004474F0">
      <w:pPr>
        <w:rPr>
          <w:iCs/>
        </w:rPr>
      </w:pPr>
    </w:p>
    <w:p w14:paraId="6140FDA6" w14:textId="46F3ECB2" w:rsidR="004474F0" w:rsidRPr="008F1BB8" w:rsidRDefault="004474F0" w:rsidP="004474F0">
      <w:pPr>
        <w:rPr>
          <w:rStyle w:val="Uwydatnienie"/>
          <w:b/>
          <w:bCs/>
        </w:rPr>
      </w:pPr>
      <w:r w:rsidRPr="008F1BB8">
        <w:rPr>
          <w:rStyle w:val="Uwydatnienie"/>
          <w:b/>
          <w:bCs/>
          <w:color w:val="C00000"/>
        </w:rPr>
        <w:t>Jeśli firma pragnie być najlepszym w swojej klasie pracodawcą włączającym osoby niepełnosprawne, powinna:</w:t>
      </w:r>
    </w:p>
    <w:p w14:paraId="6072A1D4" w14:textId="251F35B8" w:rsidR="004474F0" w:rsidRPr="004474F0" w:rsidRDefault="004474F0" w:rsidP="004474F0">
      <w:pPr>
        <w:pStyle w:val="Akapitzlist"/>
        <w:numPr>
          <w:ilvl w:val="1"/>
          <w:numId w:val="30"/>
        </w:numPr>
        <w:rPr>
          <w:i w:val="0"/>
        </w:rPr>
      </w:pPr>
      <w:r w:rsidRPr="004474F0">
        <w:rPr>
          <w:i w:val="0"/>
        </w:rPr>
        <w:t>zrozumieć obecne luki w swojej ofercie i określić działania, inicjatywy, zasady i ramy włącza</w:t>
      </w:r>
      <w:r w:rsidR="00FB1A20">
        <w:rPr>
          <w:i w:val="0"/>
        </w:rPr>
        <w:t>nia</w:t>
      </w:r>
      <w:r w:rsidRPr="004474F0">
        <w:rPr>
          <w:i w:val="0"/>
        </w:rPr>
        <w:t xml:space="preserve"> os</w:t>
      </w:r>
      <w:r w:rsidR="00FB1A20">
        <w:rPr>
          <w:i w:val="0"/>
        </w:rPr>
        <w:t>ó</w:t>
      </w:r>
      <w:r w:rsidRPr="004474F0">
        <w:rPr>
          <w:i w:val="0"/>
        </w:rPr>
        <w:t xml:space="preserve">b </w:t>
      </w:r>
      <w:r w:rsidR="009E34B2">
        <w:rPr>
          <w:i w:val="0"/>
        </w:rPr>
        <w:t>z </w:t>
      </w:r>
      <w:r w:rsidRPr="004474F0">
        <w:rPr>
          <w:i w:val="0"/>
        </w:rPr>
        <w:t>niepełnosprawn</w:t>
      </w:r>
      <w:r w:rsidR="009E34B2">
        <w:rPr>
          <w:i w:val="0"/>
        </w:rPr>
        <w:t>ościami</w:t>
      </w:r>
      <w:r w:rsidRPr="004474F0">
        <w:rPr>
          <w:i w:val="0"/>
        </w:rPr>
        <w:t xml:space="preserve"> zalecane przez najlepsze praktyki branżowe; </w:t>
      </w:r>
    </w:p>
    <w:p w14:paraId="28B739E7" w14:textId="395C90D6" w:rsidR="004474F0" w:rsidRPr="004474F0" w:rsidRDefault="004474F0" w:rsidP="004474F0">
      <w:pPr>
        <w:pStyle w:val="Akapitzlist"/>
        <w:numPr>
          <w:ilvl w:val="1"/>
          <w:numId w:val="30"/>
        </w:numPr>
        <w:rPr>
          <w:i w:val="0"/>
        </w:rPr>
      </w:pPr>
      <w:r w:rsidRPr="004474F0">
        <w:rPr>
          <w:i w:val="0"/>
        </w:rPr>
        <w:t>przedstawić jasne oczekiwania co do ról i obowiązków w</w:t>
      </w:r>
      <w:r w:rsidR="009E34B2">
        <w:rPr>
          <w:i w:val="0"/>
        </w:rPr>
        <w:t> </w:t>
      </w:r>
      <w:r w:rsidRPr="004474F0">
        <w:rPr>
          <w:i w:val="0"/>
        </w:rPr>
        <w:t>proponowanym modelu zarządzania;</w:t>
      </w:r>
    </w:p>
    <w:p w14:paraId="18351E60" w14:textId="2F2D360A" w:rsidR="004474F0" w:rsidRPr="004474F0" w:rsidRDefault="004474F0" w:rsidP="004474F0">
      <w:pPr>
        <w:pStyle w:val="Akapitzlist"/>
        <w:numPr>
          <w:ilvl w:val="1"/>
          <w:numId w:val="30"/>
        </w:numPr>
        <w:rPr>
          <w:i w:val="0"/>
        </w:rPr>
      </w:pPr>
      <w:r w:rsidRPr="004474F0">
        <w:rPr>
          <w:i w:val="0"/>
        </w:rPr>
        <w:t>pozyskać wsparcie ze strony funkcji biznesowych i</w:t>
      </w:r>
      <w:r w:rsidR="009E34B2">
        <w:rPr>
          <w:i w:val="0"/>
        </w:rPr>
        <w:t> </w:t>
      </w:r>
      <w:r w:rsidRPr="004474F0">
        <w:rPr>
          <w:i w:val="0"/>
        </w:rPr>
        <w:t>korporacyjnych w celu zapewnienia osiągnięcia wyników;</w:t>
      </w:r>
    </w:p>
    <w:p w14:paraId="48DAF8FB" w14:textId="4256B5EE" w:rsidR="004474F0" w:rsidRPr="004474F0" w:rsidRDefault="004474F0" w:rsidP="004474F0">
      <w:pPr>
        <w:pStyle w:val="Akapitzlist"/>
        <w:numPr>
          <w:ilvl w:val="1"/>
          <w:numId w:val="30"/>
        </w:numPr>
        <w:rPr>
          <w:i w:val="0"/>
        </w:rPr>
      </w:pPr>
      <w:r w:rsidRPr="004474F0">
        <w:rPr>
          <w:i w:val="0"/>
        </w:rPr>
        <w:t xml:space="preserve">ustalić i pozyskać zcentralizowany budżet, który nie będzie zależny od decyzji w linii raportowania pracownika, ale będzie gwarantował uzyskanie uzasadnionych adaptacji w procesie konsultacyjnym dedykowanego eksperta (IDE, Accessibility </w:t>
      </w:r>
      <w:proofErr w:type="spellStart"/>
      <w:r w:rsidRPr="004474F0">
        <w:rPr>
          <w:i w:val="0"/>
        </w:rPr>
        <w:t>Coordinator</w:t>
      </w:r>
      <w:proofErr w:type="spellEnd"/>
      <w:r w:rsidRPr="004474F0">
        <w:rPr>
          <w:i w:val="0"/>
        </w:rPr>
        <w:t xml:space="preserve">); </w:t>
      </w:r>
    </w:p>
    <w:p w14:paraId="138E8031" w14:textId="4225B9F4" w:rsidR="004474F0" w:rsidRPr="004474F0" w:rsidRDefault="004474F0" w:rsidP="004474F0">
      <w:pPr>
        <w:pStyle w:val="Akapitzlist"/>
        <w:numPr>
          <w:ilvl w:val="1"/>
          <w:numId w:val="30"/>
        </w:numPr>
        <w:rPr>
          <w:i w:val="0"/>
        </w:rPr>
      </w:pPr>
      <w:r w:rsidRPr="004474F0">
        <w:rPr>
          <w:i w:val="0"/>
        </w:rPr>
        <w:t xml:space="preserve">wypracować strategię na rzecz integracji osób </w:t>
      </w:r>
      <w:r w:rsidR="009E34B2">
        <w:rPr>
          <w:i w:val="0"/>
        </w:rPr>
        <w:t>z </w:t>
      </w:r>
      <w:r w:rsidRPr="004474F0">
        <w:rPr>
          <w:i w:val="0"/>
        </w:rPr>
        <w:t>niepełnosprawn</w:t>
      </w:r>
      <w:r w:rsidR="009E34B2">
        <w:rPr>
          <w:i w:val="0"/>
        </w:rPr>
        <w:t>ościami</w:t>
      </w:r>
      <w:r w:rsidRPr="004474F0">
        <w:rPr>
          <w:i w:val="0"/>
        </w:rPr>
        <w:t xml:space="preserve"> (większość firm nie posiada wciąż </w:t>
      </w:r>
      <w:r w:rsidR="00FB1A20">
        <w:rPr>
          <w:i w:val="0"/>
        </w:rPr>
        <w:t xml:space="preserve">takiej </w:t>
      </w:r>
      <w:r w:rsidRPr="004474F0">
        <w:rPr>
          <w:i w:val="0"/>
        </w:rPr>
        <w:t>dedykowanej strategii, która obejmowałaby politykę dotyczącą integracji osób niepełnosprawnych, odpowiedzialności ze strony najwyższego kierownictwa, przydziału określonego budżetu i regularnego przeglądu tej polityki);</w:t>
      </w:r>
    </w:p>
    <w:p w14:paraId="5CD88475" w14:textId="275CAE92" w:rsidR="004474F0" w:rsidRPr="004474F0" w:rsidRDefault="004474F0" w:rsidP="004474F0">
      <w:pPr>
        <w:pStyle w:val="Akapitzlist"/>
        <w:numPr>
          <w:ilvl w:val="1"/>
          <w:numId w:val="30"/>
        </w:numPr>
        <w:rPr>
          <w:i w:val="0"/>
        </w:rPr>
      </w:pPr>
      <w:r w:rsidRPr="004474F0">
        <w:rPr>
          <w:i w:val="0"/>
        </w:rPr>
        <w:t xml:space="preserve">stworzyć anonimowe raportowanie populacji pracowników </w:t>
      </w:r>
      <w:r w:rsidR="009E34B2">
        <w:rPr>
          <w:i w:val="0"/>
        </w:rPr>
        <w:t>z</w:t>
      </w:r>
      <w:r w:rsidR="00DC2957">
        <w:rPr>
          <w:i w:val="0"/>
        </w:rPr>
        <w:t> </w:t>
      </w:r>
      <w:r w:rsidRPr="004474F0">
        <w:rPr>
          <w:i w:val="0"/>
        </w:rPr>
        <w:t>niepełnosprawn</w:t>
      </w:r>
      <w:r w:rsidR="009E34B2">
        <w:rPr>
          <w:i w:val="0"/>
        </w:rPr>
        <w:t>ościami</w:t>
      </w:r>
      <w:r w:rsidRPr="004474F0">
        <w:rPr>
          <w:i w:val="0"/>
        </w:rPr>
        <w:t xml:space="preserve"> w celu analizy i </w:t>
      </w:r>
      <w:r w:rsidR="009E34B2">
        <w:rPr>
          <w:i w:val="0"/>
        </w:rPr>
        <w:t>z</w:t>
      </w:r>
      <w:r w:rsidRPr="004474F0">
        <w:rPr>
          <w:i w:val="0"/>
        </w:rPr>
        <w:t xml:space="preserve">rozumienia demografii organizacji, co stanowi duże wyzwanie dla firm obecnych w różnych krajach z różną regulacją dotyczącą </w:t>
      </w:r>
      <w:r w:rsidR="009E34B2">
        <w:rPr>
          <w:i w:val="0"/>
        </w:rPr>
        <w:t>RODO</w:t>
      </w:r>
      <w:r w:rsidR="009E34B2" w:rsidRPr="004474F0">
        <w:rPr>
          <w:i w:val="0"/>
        </w:rPr>
        <w:t xml:space="preserve"> </w:t>
      </w:r>
      <w:r w:rsidR="009E34B2">
        <w:rPr>
          <w:i w:val="0"/>
        </w:rPr>
        <w:t>lub analogicznych regulacji (</w:t>
      </w:r>
      <w:r w:rsidRPr="004474F0">
        <w:rPr>
          <w:i w:val="0"/>
        </w:rPr>
        <w:t xml:space="preserve">wiele firm wprowadza anonimową dobrowolną </w:t>
      </w:r>
      <w:proofErr w:type="spellStart"/>
      <w:r w:rsidRPr="004474F0">
        <w:rPr>
          <w:i w:val="0"/>
        </w:rPr>
        <w:t>s</w:t>
      </w:r>
      <w:r w:rsidR="009E34B2">
        <w:rPr>
          <w:i w:val="0"/>
        </w:rPr>
        <w:t>amo</w:t>
      </w:r>
      <w:r w:rsidRPr="004474F0">
        <w:rPr>
          <w:i w:val="0"/>
        </w:rPr>
        <w:t>deklarację</w:t>
      </w:r>
      <w:proofErr w:type="spellEnd"/>
      <w:r w:rsidRPr="004474F0">
        <w:rPr>
          <w:i w:val="0"/>
        </w:rPr>
        <w:t xml:space="preserve"> dotyczącą posiadanego orzeczenia </w:t>
      </w:r>
      <w:r w:rsidR="009E34B2">
        <w:rPr>
          <w:i w:val="0"/>
        </w:rPr>
        <w:t xml:space="preserve">o niepełnosprawności </w:t>
      </w:r>
      <w:r w:rsidRPr="004474F0">
        <w:rPr>
          <w:i w:val="0"/>
        </w:rPr>
        <w:t>/ dokumentu poświadczającego niepełnosprawność</w:t>
      </w:r>
      <w:r w:rsidR="00DC2957">
        <w:rPr>
          <w:i w:val="0"/>
        </w:rPr>
        <w:t xml:space="preserve"> – </w:t>
      </w:r>
      <w:proofErr w:type="spellStart"/>
      <w:r w:rsidRPr="004474F0">
        <w:rPr>
          <w:i w:val="0"/>
        </w:rPr>
        <w:t>self</w:t>
      </w:r>
      <w:proofErr w:type="spellEnd"/>
      <w:r w:rsidRPr="004474F0">
        <w:rPr>
          <w:i w:val="0"/>
        </w:rPr>
        <w:t>-ID</w:t>
      </w:r>
      <w:r w:rsidR="009E34B2">
        <w:rPr>
          <w:i w:val="0"/>
        </w:rPr>
        <w:t>)</w:t>
      </w:r>
      <w:r w:rsidRPr="004474F0">
        <w:rPr>
          <w:i w:val="0"/>
        </w:rPr>
        <w:t>;</w:t>
      </w:r>
    </w:p>
    <w:p w14:paraId="795E603B" w14:textId="38C7A61B" w:rsidR="004474F0" w:rsidRPr="004474F0" w:rsidRDefault="009E34B2" w:rsidP="004474F0">
      <w:pPr>
        <w:pStyle w:val="Akapitzlist"/>
        <w:numPr>
          <w:ilvl w:val="1"/>
          <w:numId w:val="30"/>
        </w:numPr>
        <w:rPr>
          <w:i w:val="0"/>
        </w:rPr>
      </w:pPr>
      <w:r>
        <w:rPr>
          <w:i w:val="0"/>
        </w:rPr>
        <w:t>włączyć się w i</w:t>
      </w:r>
      <w:r w:rsidR="004474F0" w:rsidRPr="004474F0">
        <w:rPr>
          <w:i w:val="0"/>
        </w:rPr>
        <w:t>nicjatywy globalne</w:t>
      </w:r>
      <w:r>
        <w:rPr>
          <w:i w:val="0"/>
        </w:rPr>
        <w:t>:</w:t>
      </w:r>
      <w:r w:rsidR="004474F0" w:rsidRPr="004474F0">
        <w:rPr>
          <w:i w:val="0"/>
        </w:rPr>
        <w:t xml:space="preserve"> coraz więcej firm bierze udział w indeksie równości osób </w:t>
      </w:r>
      <w:r w:rsidR="00DC2957">
        <w:rPr>
          <w:i w:val="0"/>
        </w:rPr>
        <w:t xml:space="preserve">z </w:t>
      </w:r>
      <w:r w:rsidR="004474F0" w:rsidRPr="004474F0">
        <w:rPr>
          <w:i w:val="0"/>
        </w:rPr>
        <w:t>niepełnosprawn</w:t>
      </w:r>
      <w:r w:rsidR="00DC2957">
        <w:rPr>
          <w:i w:val="0"/>
        </w:rPr>
        <w:t>ościami</w:t>
      </w:r>
      <w:r w:rsidR="004474F0" w:rsidRPr="004474F0">
        <w:rPr>
          <w:i w:val="0"/>
        </w:rPr>
        <w:t xml:space="preserve"> (</w:t>
      </w:r>
      <w:proofErr w:type="spellStart"/>
      <w:r w:rsidR="004474F0" w:rsidRPr="004474F0">
        <w:rPr>
          <w:i w:val="0"/>
        </w:rPr>
        <w:t>Disability</w:t>
      </w:r>
      <w:proofErr w:type="spellEnd"/>
      <w:r w:rsidR="004474F0" w:rsidRPr="004474F0">
        <w:rPr>
          <w:i w:val="0"/>
        </w:rPr>
        <w:t xml:space="preserve"> Index) oraz wchodzi w partnerstwa w </w:t>
      </w:r>
      <w:r>
        <w:rPr>
          <w:i w:val="0"/>
        </w:rPr>
        <w:t>ramach</w:t>
      </w:r>
      <w:r w:rsidRPr="004474F0">
        <w:rPr>
          <w:i w:val="0"/>
        </w:rPr>
        <w:t xml:space="preserve"> </w:t>
      </w:r>
      <w:hyperlink r:id="rId15" w:history="1">
        <w:proofErr w:type="spellStart"/>
        <w:r w:rsidR="004474F0" w:rsidRPr="00DC2957">
          <w:rPr>
            <w:rStyle w:val="Hipercze"/>
            <w:i w:val="0"/>
            <w:color w:val="C00000"/>
          </w:rPr>
          <w:t>Disability:IN</w:t>
        </w:r>
        <w:proofErr w:type="spellEnd"/>
      </w:hyperlink>
      <w:r w:rsidR="004474F0" w:rsidRPr="004474F0">
        <w:rPr>
          <w:i w:val="0"/>
        </w:rPr>
        <w:t xml:space="preserve"> </w:t>
      </w:r>
      <w:r>
        <w:rPr>
          <w:i w:val="0"/>
        </w:rPr>
        <w:t>czy</w:t>
      </w:r>
      <w:r w:rsidR="004474F0" w:rsidRPr="004474F0">
        <w:rPr>
          <w:i w:val="0"/>
        </w:rPr>
        <w:t xml:space="preserve"> </w:t>
      </w:r>
      <w:hyperlink r:id="rId16" w:history="1">
        <w:proofErr w:type="spellStart"/>
        <w:r w:rsidR="004474F0" w:rsidRPr="00DC2957">
          <w:rPr>
            <w:rStyle w:val="Hipercze"/>
            <w:i w:val="0"/>
            <w:color w:val="C00000"/>
          </w:rPr>
          <w:t>Valuable</w:t>
        </w:r>
        <w:proofErr w:type="spellEnd"/>
        <w:r w:rsidR="004474F0" w:rsidRPr="00DC2957">
          <w:rPr>
            <w:rStyle w:val="Hipercze"/>
            <w:i w:val="0"/>
            <w:color w:val="C00000"/>
          </w:rPr>
          <w:t xml:space="preserve"> 500</w:t>
        </w:r>
      </w:hyperlink>
      <w:r w:rsidR="004474F0" w:rsidRPr="004474F0">
        <w:rPr>
          <w:i w:val="0"/>
        </w:rPr>
        <w:t>.</w:t>
      </w:r>
    </w:p>
    <w:p w14:paraId="5DF32279" w14:textId="796BA431" w:rsidR="004474F0" w:rsidRDefault="004474F0" w:rsidP="00B41D73">
      <w:pPr>
        <w:pStyle w:val="Akapitzlist"/>
        <w:numPr>
          <w:ilvl w:val="1"/>
          <w:numId w:val="30"/>
        </w:numPr>
        <w:rPr>
          <w:i w:val="0"/>
        </w:rPr>
      </w:pPr>
      <w:r w:rsidRPr="004474F0">
        <w:rPr>
          <w:i w:val="0"/>
        </w:rPr>
        <w:lastRenderedPageBreak/>
        <w:t>budowa</w:t>
      </w:r>
      <w:r w:rsidR="00DC2957">
        <w:rPr>
          <w:i w:val="0"/>
        </w:rPr>
        <w:t>ć</w:t>
      </w:r>
      <w:r w:rsidRPr="004474F0">
        <w:rPr>
          <w:i w:val="0"/>
        </w:rPr>
        <w:t xml:space="preserve"> świadomoś</w:t>
      </w:r>
      <w:r w:rsidR="00DC2957">
        <w:rPr>
          <w:i w:val="0"/>
        </w:rPr>
        <w:t>ć</w:t>
      </w:r>
      <w:r w:rsidRPr="004474F0">
        <w:rPr>
          <w:i w:val="0"/>
        </w:rPr>
        <w:t xml:space="preserve"> kultury włączającej niepełnosprawność i</w:t>
      </w:r>
      <w:r w:rsidR="00DC2957">
        <w:rPr>
          <w:i w:val="0"/>
        </w:rPr>
        <w:t> </w:t>
      </w:r>
      <w:r w:rsidRPr="004474F0">
        <w:rPr>
          <w:i w:val="0"/>
        </w:rPr>
        <w:t>w tym celu skupia</w:t>
      </w:r>
      <w:r w:rsidR="00DC2957">
        <w:rPr>
          <w:i w:val="0"/>
        </w:rPr>
        <w:t>ć</w:t>
      </w:r>
      <w:r w:rsidRPr="004474F0">
        <w:rPr>
          <w:i w:val="0"/>
        </w:rPr>
        <w:t xml:space="preserve"> się </w:t>
      </w:r>
      <w:r w:rsidR="00DC2957">
        <w:rPr>
          <w:i w:val="0"/>
        </w:rPr>
        <w:t xml:space="preserve">m.in. </w:t>
      </w:r>
      <w:r w:rsidRPr="004474F0">
        <w:rPr>
          <w:i w:val="0"/>
        </w:rPr>
        <w:t>na szkoleniach uwrażliwiających oraz dotyczących nieświadomych uprzedzeń</w:t>
      </w:r>
      <w:r w:rsidR="00B41D73">
        <w:rPr>
          <w:i w:val="0"/>
        </w:rPr>
        <w:t>.</w:t>
      </w:r>
    </w:p>
    <w:p w14:paraId="760F2004" w14:textId="77777777" w:rsidR="00B41D73" w:rsidRDefault="00B41D73" w:rsidP="00B41D73"/>
    <w:p w14:paraId="411D9B0E" w14:textId="6E9D8CDF" w:rsidR="00B41D73" w:rsidRDefault="00B41D73" w:rsidP="00B41D73">
      <w:r>
        <w:t xml:space="preserve">W Wielkiej Brytanii organizacja non-profit </w:t>
      </w:r>
      <w:hyperlink r:id="rId17" w:history="1">
        <w:r w:rsidRPr="008F1BB8">
          <w:rPr>
            <w:rStyle w:val="Hipercze"/>
            <w:color w:val="C00000"/>
          </w:rPr>
          <w:t xml:space="preserve">Business </w:t>
        </w:r>
        <w:proofErr w:type="spellStart"/>
        <w:r w:rsidRPr="008F1BB8">
          <w:rPr>
            <w:rStyle w:val="Hipercze"/>
            <w:color w:val="C00000"/>
          </w:rPr>
          <w:t>Disability</w:t>
        </w:r>
        <w:proofErr w:type="spellEnd"/>
        <w:r w:rsidRPr="008F1BB8">
          <w:rPr>
            <w:rStyle w:val="Hipercze"/>
            <w:color w:val="C00000"/>
          </w:rPr>
          <w:t xml:space="preserve"> Forum</w:t>
        </w:r>
      </w:hyperlink>
      <w:r>
        <w:t xml:space="preserve"> (BDF) wspiera firmy w rekrutacji i zatrzymywaniu pracowników z niepełnosprawnościami oraz </w:t>
      </w:r>
      <w:r w:rsidR="00DC2957">
        <w:t xml:space="preserve">w </w:t>
      </w:r>
      <w:r>
        <w:t xml:space="preserve">obsłudze klientów z niepełnosprawnościami. Ponad 500 członków </w:t>
      </w:r>
      <w:r w:rsidR="00DC2957">
        <w:t>BDF</w:t>
      </w:r>
      <w:r>
        <w:t xml:space="preserve"> zatrudnia obecnie około 20% siły roboczej w Wielkiej Brytanii i 8 milionów ludzi na całym świecie. </w:t>
      </w:r>
      <w:r w:rsidR="00DC2957">
        <w:t>W</w:t>
      </w:r>
      <w:r w:rsidR="0097604D">
        <w:t>śród podmiotów skupionych w tym forum znajdują się:</w:t>
      </w:r>
      <w:r>
        <w:t xml:space="preserve"> spółki notowane na giełdzie FTSE 100</w:t>
      </w:r>
      <w:r w:rsidR="0097604D">
        <w:t xml:space="preserve">, </w:t>
      </w:r>
      <w:r>
        <w:t>instytucje administracji centralnej, a także firmy</w:t>
      </w:r>
      <w:r w:rsidR="0097604D">
        <w:t xml:space="preserve"> z sektorów m.in.</w:t>
      </w:r>
      <w:r>
        <w:t xml:space="preserve"> technologiczne</w:t>
      </w:r>
      <w:r w:rsidR="0097604D">
        <w:t>go</w:t>
      </w:r>
      <w:r>
        <w:t>, transportowe</w:t>
      </w:r>
      <w:r w:rsidR="0097604D">
        <w:t>go</w:t>
      </w:r>
      <w:r>
        <w:t xml:space="preserve"> i budowlane</w:t>
      </w:r>
      <w:r w:rsidR="0097604D">
        <w:t>go</w:t>
      </w:r>
      <w:r>
        <w:t>, sprzedawc</w:t>
      </w:r>
      <w:r w:rsidR="0097604D">
        <w:t>y</w:t>
      </w:r>
      <w:r>
        <w:t xml:space="preserve"> detaliczn</w:t>
      </w:r>
      <w:r w:rsidR="0097604D">
        <w:t>i</w:t>
      </w:r>
      <w:r>
        <w:t>, instytucje szkolnictwa wyższego i podmioty świadczące usługi publiczne.</w:t>
      </w:r>
    </w:p>
    <w:p w14:paraId="27D2350A" w14:textId="7B5BEC50" w:rsidR="00B41D73" w:rsidRDefault="00B41D73" w:rsidP="00B41D73">
      <w:r>
        <w:t xml:space="preserve">W efekcie </w:t>
      </w:r>
      <w:r w:rsidR="0097604D">
        <w:t>podejmowanych</w:t>
      </w:r>
      <w:r>
        <w:t xml:space="preserve"> działań i </w:t>
      </w:r>
      <w:r w:rsidR="0097604D">
        <w:t xml:space="preserve">nabytych </w:t>
      </w:r>
      <w:r>
        <w:t xml:space="preserve">doświadczeń opracowano model wspierający włączanie niepełnosprawności do strategii firmy nazywając go BDF </w:t>
      </w:r>
      <w:proofErr w:type="spellStart"/>
      <w:r>
        <w:t>Disability</w:t>
      </w:r>
      <w:proofErr w:type="spellEnd"/>
      <w:r>
        <w:t xml:space="preserve"> Smart Model, a jego komponenty obejmują:</w:t>
      </w:r>
    </w:p>
    <w:p w14:paraId="46498903" w14:textId="164F5856" w:rsidR="00B41D73" w:rsidRPr="00B41D73" w:rsidRDefault="00B41D73" w:rsidP="00B41D73">
      <w:pPr>
        <w:pStyle w:val="Akapitzlist"/>
        <w:numPr>
          <w:ilvl w:val="0"/>
          <w:numId w:val="32"/>
        </w:numPr>
        <w:rPr>
          <w:i w:val="0"/>
          <w:iCs/>
        </w:rPr>
      </w:pPr>
      <w:r w:rsidRPr="00B41D73">
        <w:rPr>
          <w:i w:val="0"/>
          <w:iCs/>
        </w:rPr>
        <w:t>Przywództwo</w:t>
      </w:r>
    </w:p>
    <w:p w14:paraId="0E1A23C4" w14:textId="01E955C5" w:rsidR="00B41D73" w:rsidRPr="00B41D73" w:rsidRDefault="00B41D73" w:rsidP="00B41D73">
      <w:pPr>
        <w:pStyle w:val="Akapitzlist"/>
        <w:numPr>
          <w:ilvl w:val="0"/>
          <w:numId w:val="32"/>
        </w:numPr>
        <w:rPr>
          <w:i w:val="0"/>
          <w:iCs/>
        </w:rPr>
      </w:pPr>
      <w:r w:rsidRPr="00B41D73">
        <w:rPr>
          <w:i w:val="0"/>
          <w:iCs/>
        </w:rPr>
        <w:t xml:space="preserve">Podnoszenie kompetencji i rozwój </w:t>
      </w:r>
    </w:p>
    <w:p w14:paraId="1BDACA5B" w14:textId="1844C631" w:rsidR="00B41D73" w:rsidRPr="00B41D73" w:rsidRDefault="00B41D73" w:rsidP="00B41D73">
      <w:pPr>
        <w:pStyle w:val="Akapitzlist"/>
        <w:numPr>
          <w:ilvl w:val="0"/>
          <w:numId w:val="32"/>
        </w:numPr>
        <w:rPr>
          <w:i w:val="0"/>
          <w:iCs/>
        </w:rPr>
      </w:pPr>
      <w:r w:rsidRPr="00B41D73">
        <w:rPr>
          <w:i w:val="0"/>
          <w:iCs/>
        </w:rPr>
        <w:t>Zasadne dostosowania i adaptacje</w:t>
      </w:r>
    </w:p>
    <w:p w14:paraId="3391C8B8" w14:textId="1CD7EDAB" w:rsidR="00B41D73" w:rsidRPr="00B41D73" w:rsidRDefault="00B41D73" w:rsidP="00B41D73">
      <w:pPr>
        <w:pStyle w:val="Akapitzlist"/>
        <w:numPr>
          <w:ilvl w:val="0"/>
          <w:numId w:val="32"/>
        </w:numPr>
        <w:rPr>
          <w:i w:val="0"/>
          <w:iCs/>
        </w:rPr>
      </w:pPr>
      <w:r w:rsidRPr="00B41D73">
        <w:rPr>
          <w:i w:val="0"/>
          <w:iCs/>
        </w:rPr>
        <w:t>Rekrutacja</w:t>
      </w:r>
    </w:p>
    <w:p w14:paraId="7ACE1581" w14:textId="65260AAA" w:rsidR="00B41D73" w:rsidRPr="00B41D73" w:rsidRDefault="00B41D73" w:rsidP="00B41D73">
      <w:pPr>
        <w:pStyle w:val="Akapitzlist"/>
        <w:numPr>
          <w:ilvl w:val="0"/>
          <w:numId w:val="32"/>
        </w:numPr>
        <w:rPr>
          <w:i w:val="0"/>
          <w:iCs/>
        </w:rPr>
      </w:pPr>
      <w:r w:rsidRPr="00B41D73">
        <w:rPr>
          <w:i w:val="0"/>
          <w:iCs/>
        </w:rPr>
        <w:t>Utrzymanie pracownika</w:t>
      </w:r>
    </w:p>
    <w:p w14:paraId="4F1BEDD3" w14:textId="1085B0CD" w:rsidR="00B41D73" w:rsidRPr="00B41D73" w:rsidRDefault="00B41D73" w:rsidP="00B41D73">
      <w:pPr>
        <w:pStyle w:val="Akapitzlist"/>
        <w:numPr>
          <w:ilvl w:val="0"/>
          <w:numId w:val="32"/>
        </w:numPr>
        <w:rPr>
          <w:i w:val="0"/>
          <w:iCs/>
        </w:rPr>
      </w:pPr>
      <w:r w:rsidRPr="00B41D73">
        <w:rPr>
          <w:i w:val="0"/>
          <w:iCs/>
        </w:rPr>
        <w:t>Usługi dla klientów</w:t>
      </w:r>
    </w:p>
    <w:p w14:paraId="7D7F8A25" w14:textId="4265110D" w:rsidR="00B41D73" w:rsidRPr="00B41D73" w:rsidRDefault="00B41D73" w:rsidP="00B41D73">
      <w:pPr>
        <w:pStyle w:val="Akapitzlist"/>
        <w:numPr>
          <w:ilvl w:val="0"/>
          <w:numId w:val="32"/>
        </w:numPr>
        <w:rPr>
          <w:i w:val="0"/>
          <w:iCs/>
        </w:rPr>
      </w:pPr>
      <w:r w:rsidRPr="00B41D73">
        <w:rPr>
          <w:i w:val="0"/>
          <w:iCs/>
        </w:rPr>
        <w:t>Łańcuch dostaw</w:t>
      </w:r>
    </w:p>
    <w:p w14:paraId="20E3AD1F" w14:textId="3A012533" w:rsidR="00B41D73" w:rsidRPr="00B41D73" w:rsidRDefault="00B41D73" w:rsidP="00B41D73">
      <w:pPr>
        <w:pStyle w:val="Akapitzlist"/>
        <w:numPr>
          <w:ilvl w:val="0"/>
          <w:numId w:val="32"/>
        </w:numPr>
        <w:rPr>
          <w:i w:val="0"/>
          <w:iCs/>
        </w:rPr>
      </w:pPr>
      <w:r w:rsidRPr="00B41D73">
        <w:rPr>
          <w:i w:val="0"/>
          <w:iCs/>
        </w:rPr>
        <w:t>Komunikacja</w:t>
      </w:r>
    </w:p>
    <w:p w14:paraId="59754584" w14:textId="3B3BED34" w:rsidR="00B41D73" w:rsidRPr="00B41D73" w:rsidRDefault="00B41D73" w:rsidP="00B41D73">
      <w:pPr>
        <w:pStyle w:val="Akapitzlist"/>
        <w:numPr>
          <w:ilvl w:val="0"/>
          <w:numId w:val="32"/>
        </w:numPr>
        <w:rPr>
          <w:i w:val="0"/>
          <w:iCs/>
        </w:rPr>
      </w:pPr>
      <w:r w:rsidRPr="00B41D73">
        <w:rPr>
          <w:i w:val="0"/>
          <w:iCs/>
        </w:rPr>
        <w:t>Środowisko funkcyjne</w:t>
      </w:r>
    </w:p>
    <w:p w14:paraId="02F8CF32" w14:textId="58ECE8F4" w:rsidR="00B41D73" w:rsidRPr="00B41D73" w:rsidRDefault="00B41D73" w:rsidP="00B41D73">
      <w:pPr>
        <w:pStyle w:val="Akapitzlist"/>
        <w:numPr>
          <w:ilvl w:val="0"/>
          <w:numId w:val="32"/>
        </w:numPr>
        <w:rPr>
          <w:i w:val="0"/>
          <w:iCs/>
        </w:rPr>
      </w:pPr>
      <w:r w:rsidRPr="00B41D73">
        <w:rPr>
          <w:i w:val="0"/>
          <w:iCs/>
        </w:rPr>
        <w:t>Technologia</w:t>
      </w:r>
    </w:p>
    <w:p w14:paraId="3C5D7209" w14:textId="77777777" w:rsidR="00B41D73" w:rsidRDefault="00B41D73" w:rsidP="00B41D73"/>
    <w:p w14:paraId="25B8A774" w14:textId="77777777" w:rsidR="00B41D73" w:rsidRDefault="00B41D73" w:rsidP="00B41D73"/>
    <w:p w14:paraId="54D979E7" w14:textId="77777777" w:rsidR="00B41D73" w:rsidRDefault="00B41D73" w:rsidP="00B41D73"/>
    <w:p w14:paraId="48A6B524" w14:textId="56069ACE" w:rsidR="00B41D73" w:rsidRDefault="00B41D73" w:rsidP="00B41D73">
      <w:r>
        <w:rPr>
          <w:rFonts w:ascii="Calibri" w:eastAsia="Times New Roman" w:hAnsi="Calibri" w:cs="Calibri"/>
          <w:noProof/>
          <w:sz w:val="22"/>
          <w:szCs w:val="22"/>
        </w:rPr>
        <w:lastRenderedPageBreak/>
        <w:drawing>
          <wp:inline distT="0" distB="0" distL="0" distR="0" wp14:anchorId="566DC08E" wp14:editId="5CB144AC">
            <wp:extent cx="5274945" cy="2793978"/>
            <wp:effectExtent l="0" t="0" r="0" b="635"/>
            <wp:docPr id="144279607" name="Obraz 2" descr="Grafika: BDF Disability Smart - Components, 10 ikonek ilustrujących komponenty 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279607" name="Obraz 2" descr="Grafika: BDF Disability Smart - Components, 10 ikonek ilustrujących komponenty &#10;&#10;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09" b="7224"/>
                    <a:stretch/>
                  </pic:blipFill>
                  <pic:spPr bwMode="auto">
                    <a:xfrm>
                      <a:off x="0" y="0"/>
                      <a:ext cx="5274945" cy="279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558C60" w14:textId="77777777" w:rsidR="00B41D73" w:rsidRDefault="00B41D73" w:rsidP="00B41D73"/>
    <w:p w14:paraId="0AC5B26F" w14:textId="437D30EE" w:rsidR="0097604D" w:rsidRPr="008F1BB8" w:rsidRDefault="0097604D" w:rsidP="008F1BB8">
      <w:pPr>
        <w:pStyle w:val="Nagwek1"/>
        <w:spacing w:before="600" w:after="800"/>
        <w:rPr>
          <w:sz w:val="56"/>
          <w:szCs w:val="56"/>
        </w:rPr>
      </w:pPr>
      <w:bookmarkStart w:id="3" w:name="_Toc153470840"/>
      <w:r>
        <w:rPr>
          <w:sz w:val="56"/>
          <w:szCs w:val="56"/>
        </w:rPr>
        <w:t>działania firm sektora finansowego</w:t>
      </w:r>
      <w:bookmarkEnd w:id="3"/>
    </w:p>
    <w:p w14:paraId="444ED6BE" w14:textId="610D8A08" w:rsidR="00B41D73" w:rsidRDefault="00B41D73" w:rsidP="00B41D73">
      <w:r>
        <w:t>Wielu klientów sektora finansowego, choć nie tylko</w:t>
      </w:r>
      <w:r w:rsidR="0097604D">
        <w:t>,</w:t>
      </w:r>
      <w:r>
        <w:t xml:space="preserve"> przoduje w</w:t>
      </w:r>
      <w:r w:rsidR="00C67000">
        <w:t> </w:t>
      </w:r>
      <w:r>
        <w:t>działaniach na rzecz zrównoważonego rozwoju/ESG, a ich zespoły ds. badań, zaangażowania i głosowania w zakresie ESG regularnie pyta</w:t>
      </w:r>
      <w:r w:rsidR="0097604D">
        <w:t>ją</w:t>
      </w:r>
      <w:r>
        <w:t xml:space="preserve"> swoje spółki portfelowe o polityki i praktyki dotyczące różnorodności, włączenia społecznego i równości. </w:t>
      </w:r>
      <w:r w:rsidR="0097604D">
        <w:t>Skutki tych zabiegów są</w:t>
      </w:r>
      <w:r>
        <w:t xml:space="preserve"> </w:t>
      </w:r>
      <w:r w:rsidR="00C67000">
        <w:t xml:space="preserve">mocno </w:t>
      </w:r>
      <w:r>
        <w:t>odczuwalne dla sektora finansowego od 2022 roku, w</w:t>
      </w:r>
      <w:r w:rsidR="0097604D">
        <w:t> </w:t>
      </w:r>
      <w:r>
        <w:t xml:space="preserve">którym zapytanie o działania na rzecz </w:t>
      </w:r>
      <w:r w:rsidR="00C67000">
        <w:t>włączania</w:t>
      </w:r>
      <w:r>
        <w:t xml:space="preserve"> osób </w:t>
      </w:r>
      <w:r w:rsidR="00C67000">
        <w:t>z </w:t>
      </w:r>
      <w:r>
        <w:t>niepełnosprawn</w:t>
      </w:r>
      <w:r w:rsidR="00C67000">
        <w:t xml:space="preserve">ościami </w:t>
      </w:r>
      <w:r>
        <w:t xml:space="preserve">zostało wystosowanych do 56 firm. </w:t>
      </w:r>
    </w:p>
    <w:p w14:paraId="1F9120AD" w14:textId="5F754153" w:rsidR="00B41D73" w:rsidRDefault="00B41D73" w:rsidP="00B41D73">
      <w:r>
        <w:t xml:space="preserve">Najczęściej pojawiające się praktyki </w:t>
      </w:r>
      <w:r w:rsidR="00C67000">
        <w:t>w tym obszarze to</w:t>
      </w:r>
      <w:r>
        <w:t>:</w:t>
      </w:r>
    </w:p>
    <w:p w14:paraId="1D9F44AC" w14:textId="3C10D8B9" w:rsidR="00B41D73" w:rsidRPr="00C67000" w:rsidRDefault="00B41D73" w:rsidP="00C67000">
      <w:pPr>
        <w:pStyle w:val="Akapitzlist"/>
        <w:numPr>
          <w:ilvl w:val="0"/>
          <w:numId w:val="34"/>
        </w:numPr>
        <w:rPr>
          <w:i w:val="0"/>
          <w:iCs/>
        </w:rPr>
      </w:pPr>
      <w:r w:rsidRPr="00C67000">
        <w:rPr>
          <w:i w:val="0"/>
          <w:iCs/>
        </w:rPr>
        <w:t xml:space="preserve">Wyznaczenie oczekiwanych poziomów reprezentacji osób </w:t>
      </w:r>
      <w:r w:rsidR="0097604D">
        <w:rPr>
          <w:i w:val="0"/>
          <w:iCs/>
        </w:rPr>
        <w:t>z </w:t>
      </w:r>
      <w:r w:rsidRPr="00C67000">
        <w:rPr>
          <w:i w:val="0"/>
          <w:iCs/>
        </w:rPr>
        <w:t>niepełnosprawn</w:t>
      </w:r>
      <w:r w:rsidR="0097604D">
        <w:rPr>
          <w:i w:val="0"/>
          <w:iCs/>
        </w:rPr>
        <w:t>ościami</w:t>
      </w:r>
      <w:r w:rsidRPr="00C67000">
        <w:rPr>
          <w:i w:val="0"/>
          <w:iCs/>
        </w:rPr>
        <w:t xml:space="preserve"> w firmie</w:t>
      </w:r>
      <w:r w:rsidR="00C67000" w:rsidRPr="00C67000">
        <w:rPr>
          <w:i w:val="0"/>
          <w:iCs/>
        </w:rPr>
        <w:t>.</w:t>
      </w:r>
    </w:p>
    <w:p w14:paraId="021A3A54" w14:textId="330F50B4" w:rsidR="00B41D73" w:rsidRPr="00C67000" w:rsidRDefault="00B41D73" w:rsidP="00C67000">
      <w:pPr>
        <w:pStyle w:val="Akapitzlist"/>
        <w:numPr>
          <w:ilvl w:val="0"/>
          <w:numId w:val="34"/>
        </w:numPr>
        <w:rPr>
          <w:i w:val="0"/>
          <w:iCs/>
        </w:rPr>
      </w:pPr>
      <w:r w:rsidRPr="00C67000">
        <w:rPr>
          <w:i w:val="0"/>
          <w:iCs/>
        </w:rPr>
        <w:t xml:space="preserve">Przeznaczenie specjalnego budżetu na poziomie grupy na włączenie osób </w:t>
      </w:r>
      <w:r w:rsidR="0097604D">
        <w:rPr>
          <w:i w:val="0"/>
          <w:iCs/>
        </w:rPr>
        <w:t xml:space="preserve">z </w:t>
      </w:r>
      <w:r w:rsidRPr="00C67000">
        <w:rPr>
          <w:i w:val="0"/>
          <w:iCs/>
        </w:rPr>
        <w:t>niepełnosprawn</w:t>
      </w:r>
      <w:r w:rsidR="0097604D">
        <w:rPr>
          <w:i w:val="0"/>
          <w:iCs/>
        </w:rPr>
        <w:t>ościami</w:t>
      </w:r>
      <w:r w:rsidRPr="00C67000">
        <w:rPr>
          <w:i w:val="0"/>
          <w:iCs/>
        </w:rPr>
        <w:t xml:space="preserve"> oraz racjonalne dostosowania i adaptacje</w:t>
      </w:r>
      <w:r w:rsidR="00C67000" w:rsidRPr="00C67000">
        <w:rPr>
          <w:i w:val="0"/>
          <w:iCs/>
        </w:rPr>
        <w:t>.</w:t>
      </w:r>
    </w:p>
    <w:p w14:paraId="433C52B3" w14:textId="73EFE2E4" w:rsidR="00B41D73" w:rsidRPr="00C67000" w:rsidRDefault="00B41D73" w:rsidP="00C67000">
      <w:pPr>
        <w:pStyle w:val="Akapitzlist"/>
        <w:numPr>
          <w:ilvl w:val="0"/>
          <w:numId w:val="34"/>
        </w:numPr>
        <w:rPr>
          <w:i w:val="0"/>
          <w:iCs/>
        </w:rPr>
      </w:pPr>
      <w:r w:rsidRPr="00C67000">
        <w:rPr>
          <w:i w:val="0"/>
          <w:iCs/>
        </w:rPr>
        <w:lastRenderedPageBreak/>
        <w:t xml:space="preserve">Opracowanie specjalnego programu retencji dla osób </w:t>
      </w:r>
      <w:r w:rsidR="0097604D">
        <w:rPr>
          <w:i w:val="0"/>
          <w:iCs/>
        </w:rPr>
        <w:t>z </w:t>
      </w:r>
      <w:r w:rsidRPr="00C67000">
        <w:rPr>
          <w:i w:val="0"/>
          <w:iCs/>
        </w:rPr>
        <w:t>niepełnosprawn</w:t>
      </w:r>
      <w:r w:rsidR="0097604D">
        <w:rPr>
          <w:i w:val="0"/>
          <w:iCs/>
        </w:rPr>
        <w:t>ościami</w:t>
      </w:r>
      <w:r w:rsidR="00C67000" w:rsidRPr="00C67000">
        <w:rPr>
          <w:i w:val="0"/>
          <w:iCs/>
        </w:rPr>
        <w:t>.</w:t>
      </w:r>
    </w:p>
    <w:p w14:paraId="7C3D80FB" w14:textId="77777777" w:rsidR="00B41D73" w:rsidRDefault="00B41D73" w:rsidP="00B41D73"/>
    <w:p w14:paraId="514CF323" w14:textId="3144521D" w:rsidR="00B41D73" w:rsidRDefault="00B41D73" w:rsidP="00B41D73">
      <w:r>
        <w:t>Włączanie osób</w:t>
      </w:r>
      <w:r w:rsidR="00C67000">
        <w:t xml:space="preserve"> z</w:t>
      </w:r>
      <w:r>
        <w:t xml:space="preserve"> niepełnosprawn</w:t>
      </w:r>
      <w:r w:rsidR="00C67000">
        <w:t>ościami</w:t>
      </w:r>
      <w:r>
        <w:t xml:space="preserve"> do środowiska pracy może przynieść pracodawcom korzyści i pomóc w zdobyciu nowego, lepszego spojrzenia na niepełnosprawność. Aby jednak zlikwidować różnicę w zatrudnieniu osób </w:t>
      </w:r>
      <w:r w:rsidR="0097604D">
        <w:t xml:space="preserve">z </w:t>
      </w:r>
      <w:r>
        <w:t>niepełnosprawn</w:t>
      </w:r>
      <w:r w:rsidR="0097604D">
        <w:t>ościami</w:t>
      </w:r>
      <w:r>
        <w:t>, musimy być w</w:t>
      </w:r>
      <w:r w:rsidR="00C67000">
        <w:t> </w:t>
      </w:r>
      <w:r>
        <w:t>stanie ocenić postęp poprzez gromadzenie danych, mając jednocześnie świadomość, że doświadczenia związane z</w:t>
      </w:r>
      <w:r w:rsidR="00C67000">
        <w:t> </w:t>
      </w:r>
      <w:r>
        <w:t xml:space="preserve">niepełnosprawnością są bardzo zróżnicowane. Aby móc działać dalej, organizacje powinny zabiegać o zaangażowanie ze strony kierownictwa wyższego szczebla we współpracę na rzecz stworzenia środowiska organizacyjnego, które poprawia widoczność, akceptację i wsparcie niepełnosprawności. Włączenie osób </w:t>
      </w:r>
      <w:r w:rsidR="00C67000">
        <w:t xml:space="preserve">z </w:t>
      </w:r>
      <w:r>
        <w:t>niepełnosprawn</w:t>
      </w:r>
      <w:r w:rsidR="00C67000">
        <w:t>ościami</w:t>
      </w:r>
      <w:r>
        <w:t xml:space="preserve"> jest nie tylko podstawowym prawem człowieka, ale ma centralne znaczenie</w:t>
      </w:r>
      <w:r w:rsidR="0097604D">
        <w:t xml:space="preserve"> </w:t>
      </w:r>
      <w:r>
        <w:t>dla obietnicy zawartej w</w:t>
      </w:r>
      <w:r w:rsidR="00C67000">
        <w:t> </w:t>
      </w:r>
      <w:r>
        <w:t xml:space="preserve">Agendzie Organizacji Narodów Zjednoczonych na rzecz zrównoważonego rozwoju 2030. Agenda </w:t>
      </w:r>
      <w:r w:rsidR="00C67000">
        <w:t>ta</w:t>
      </w:r>
      <w:r>
        <w:t xml:space="preserve"> wyraźnie stwierdza, że niepełnosprawność nie może być przyczyną ani kryterium braku dostępu do programowania rozwoju i realizacji praw człowieka. Ramy celów zrównoważonego rozwoju (SDG) obejmują siedem celów, które wyraźnie odnoszą się do osób</w:t>
      </w:r>
      <w:r w:rsidR="0097604D">
        <w:t xml:space="preserve"> z </w:t>
      </w:r>
      <w:r>
        <w:t>niepełnosprawn</w:t>
      </w:r>
      <w:r w:rsidR="0097604D">
        <w:t>ościami</w:t>
      </w:r>
      <w:r>
        <w:t>, oraz sześć kolejnych celów dotyczących osób znajdujących się w trudnej sytuacji, do których zaliczają się osoby</w:t>
      </w:r>
      <w:r w:rsidR="0097604D">
        <w:t xml:space="preserve"> z</w:t>
      </w:r>
      <w:r>
        <w:t xml:space="preserve"> niepełnosprawn</w:t>
      </w:r>
      <w:r w:rsidR="0097604D">
        <w:t>ościami</w:t>
      </w:r>
      <w:r>
        <w:t>.</w:t>
      </w:r>
    </w:p>
    <w:p w14:paraId="4DF63A3B" w14:textId="77777777" w:rsidR="00B41D73" w:rsidRDefault="00B41D73" w:rsidP="00B41D73"/>
    <w:p w14:paraId="7CF16354" w14:textId="77777777" w:rsidR="007C0B81" w:rsidRDefault="007C0B81" w:rsidP="00B41D73"/>
    <w:p w14:paraId="6902C3DE" w14:textId="77777777" w:rsidR="007C0B81" w:rsidRPr="00B41D73" w:rsidRDefault="007C0B81" w:rsidP="00B41D73"/>
    <w:sectPr w:rsidR="007C0B81" w:rsidRPr="00B41D73" w:rsidSect="00317ED0">
      <w:footerReference w:type="default" r:id="rId20"/>
      <w:pgSz w:w="11907" w:h="16839" w:code="9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8C516" w14:textId="77777777" w:rsidR="00BE2273" w:rsidRDefault="00BE2273">
      <w:pPr>
        <w:spacing w:after="0" w:line="240" w:lineRule="auto"/>
      </w:pPr>
      <w:r>
        <w:separator/>
      </w:r>
    </w:p>
  </w:endnote>
  <w:endnote w:type="continuationSeparator" w:id="0">
    <w:p w14:paraId="79C0C164" w14:textId="77777777" w:rsidR="00BE2273" w:rsidRDefault="00BE2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BED00" w14:textId="44746273" w:rsidR="00554443" w:rsidRDefault="00554443">
    <w:pPr>
      <w:pStyle w:val="Stopka"/>
    </w:pPr>
    <w:r w:rsidRPr="00D355AE">
      <w:rPr>
        <w:noProof/>
      </w:rPr>
      <w:drawing>
        <wp:anchor distT="0" distB="0" distL="114300" distR="114300" simplePos="0" relativeHeight="251659264" behindDoc="0" locked="0" layoutInCell="1" allowOverlap="1" wp14:anchorId="5D29A435" wp14:editId="11099F9B">
          <wp:simplePos x="0" y="0"/>
          <wp:positionH relativeFrom="column">
            <wp:posOffset>-997585</wp:posOffset>
          </wp:positionH>
          <wp:positionV relativeFrom="paragraph">
            <wp:posOffset>-95885</wp:posOffset>
          </wp:positionV>
          <wp:extent cx="1748155" cy="652145"/>
          <wp:effectExtent l="0" t="0" r="0" b="0"/>
          <wp:wrapNone/>
          <wp:docPr id="4" name="Obraz 1">
            <a:extLst xmlns:a="http://schemas.openxmlformats.org/drawingml/2006/main">
              <a:ext uri="{FF2B5EF4-FFF2-40B4-BE49-F238E27FC236}">
                <a16:creationId xmlns:a16="http://schemas.microsoft.com/office/drawing/2014/main" id="{58FF6316-21DA-6864-73CE-50B30247D9A1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>
                    <a:extLst>
                      <a:ext uri="{FF2B5EF4-FFF2-40B4-BE49-F238E27FC236}">
                        <a16:creationId xmlns:a16="http://schemas.microsoft.com/office/drawing/2014/main" id="{58FF6316-21DA-6864-73CE-50B30247D9A1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15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55AE">
      <w:rPr>
        <w:noProof/>
      </w:rPr>
      <w:drawing>
        <wp:anchor distT="0" distB="0" distL="114300" distR="114300" simplePos="0" relativeHeight="251660288" behindDoc="0" locked="0" layoutInCell="1" allowOverlap="1" wp14:anchorId="49AAF4B0" wp14:editId="68DA12A1">
          <wp:simplePos x="0" y="0"/>
          <wp:positionH relativeFrom="column">
            <wp:posOffset>1546225</wp:posOffset>
          </wp:positionH>
          <wp:positionV relativeFrom="paragraph">
            <wp:posOffset>-89535</wp:posOffset>
          </wp:positionV>
          <wp:extent cx="2221230" cy="652145"/>
          <wp:effectExtent l="0" t="0" r="0" b="0"/>
          <wp:wrapNone/>
          <wp:docPr id="5" name="Obraz 2">
            <a:extLst xmlns:a="http://schemas.openxmlformats.org/drawingml/2006/main">
              <a:ext uri="{FF2B5EF4-FFF2-40B4-BE49-F238E27FC236}">
                <a16:creationId xmlns:a16="http://schemas.microsoft.com/office/drawing/2014/main" id="{99BAED20-6842-B7DB-8E17-81F2C74AA230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2">
                    <a:extLst>
                      <a:ext uri="{FF2B5EF4-FFF2-40B4-BE49-F238E27FC236}">
                        <a16:creationId xmlns:a16="http://schemas.microsoft.com/office/drawing/2014/main" id="{99BAED20-6842-B7DB-8E17-81F2C74AA230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23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55AE">
      <w:rPr>
        <w:noProof/>
      </w:rPr>
      <w:drawing>
        <wp:anchor distT="0" distB="0" distL="114300" distR="114300" simplePos="0" relativeHeight="251661312" behindDoc="0" locked="0" layoutInCell="1" allowOverlap="1" wp14:anchorId="66F2ADCC" wp14:editId="7F75E4DE">
          <wp:simplePos x="0" y="0"/>
          <wp:positionH relativeFrom="column">
            <wp:posOffset>4219632</wp:posOffset>
          </wp:positionH>
          <wp:positionV relativeFrom="paragraph">
            <wp:posOffset>-95916</wp:posOffset>
          </wp:positionV>
          <wp:extent cx="2023110" cy="652145"/>
          <wp:effectExtent l="0" t="0" r="0" b="0"/>
          <wp:wrapNone/>
          <wp:docPr id="8" name="Obraz 3">
            <a:extLst xmlns:a="http://schemas.openxmlformats.org/drawingml/2006/main">
              <a:ext uri="{FF2B5EF4-FFF2-40B4-BE49-F238E27FC236}">
                <a16:creationId xmlns:a16="http://schemas.microsoft.com/office/drawing/2014/main" id="{B437C296-F9C8-A348-CF17-AAFE945040DA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3">
                    <a:extLst>
                      <a:ext uri="{FF2B5EF4-FFF2-40B4-BE49-F238E27FC236}">
                        <a16:creationId xmlns:a16="http://schemas.microsoft.com/office/drawing/2014/main" id="{B437C296-F9C8-A348-CF17-AAFE945040DA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6392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835235" w14:textId="77777777" w:rsidR="009E4642" w:rsidRDefault="00816F0E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47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9142B" w14:textId="77777777" w:rsidR="00BE2273" w:rsidRDefault="00BE2273">
      <w:pPr>
        <w:spacing w:after="0" w:line="240" w:lineRule="auto"/>
      </w:pPr>
      <w:r>
        <w:separator/>
      </w:r>
    </w:p>
  </w:footnote>
  <w:footnote w:type="continuationSeparator" w:id="0">
    <w:p w14:paraId="5DF70190" w14:textId="77777777" w:rsidR="00BE2273" w:rsidRDefault="00BE2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2D45" w14:textId="246FD5A9" w:rsidR="00554443" w:rsidRDefault="00554443">
    <w:pPr>
      <w:pStyle w:val="Nagwek"/>
    </w:pPr>
    <w:r w:rsidRPr="008C1765">
      <w:rPr>
        <w:noProof/>
      </w:rPr>
      <w:drawing>
        <wp:inline distT="0" distB="0" distL="0" distR="0" wp14:anchorId="71647E32" wp14:editId="374A4125">
          <wp:extent cx="5093091" cy="1242770"/>
          <wp:effectExtent l="0" t="0" r="0" b="1905"/>
          <wp:docPr id="2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8873" cy="1261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3C32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D27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6E13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E81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8033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485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C84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A6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42D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A1E4E"/>
    <w:multiLevelType w:val="hybridMultilevel"/>
    <w:tmpl w:val="F7809138"/>
    <w:lvl w:ilvl="0" w:tplc="369EC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5952" w:themeColor="accent1"/>
        <w:sz w:val="20"/>
      </w:rPr>
    </w:lvl>
    <w:lvl w:ilvl="1" w:tplc="B6F4412A">
      <w:numFmt w:val="bullet"/>
      <w:lvlText w:val="•"/>
      <w:lvlJc w:val="left"/>
      <w:pPr>
        <w:ind w:left="1800" w:hanging="720"/>
      </w:pPr>
      <w:rPr>
        <w:rFonts w:ascii="Verdana" w:eastAsiaTheme="minorHAnsi" w:hAnsi="Verdana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747334"/>
    <w:multiLevelType w:val="hybridMultilevel"/>
    <w:tmpl w:val="BB8C9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4720E2"/>
    <w:multiLevelType w:val="hybridMultilevel"/>
    <w:tmpl w:val="989282AE"/>
    <w:lvl w:ilvl="0" w:tplc="08B45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5952" w:themeColor="accent1"/>
        <w:sz w:val="20"/>
      </w:rPr>
    </w:lvl>
    <w:lvl w:ilvl="1" w:tplc="369EC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5952" w:themeColor="accent1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B59BB"/>
    <w:multiLevelType w:val="hybridMultilevel"/>
    <w:tmpl w:val="24F42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92EAE"/>
    <w:multiLevelType w:val="hybridMultilevel"/>
    <w:tmpl w:val="17101406"/>
    <w:lvl w:ilvl="0" w:tplc="047C8A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227F3"/>
    <w:multiLevelType w:val="hybridMultilevel"/>
    <w:tmpl w:val="CD6A1448"/>
    <w:lvl w:ilvl="0" w:tplc="86468A58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04354"/>
    <w:multiLevelType w:val="hybridMultilevel"/>
    <w:tmpl w:val="3794B618"/>
    <w:lvl w:ilvl="0" w:tplc="369EC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416C3"/>
    <w:multiLevelType w:val="hybridMultilevel"/>
    <w:tmpl w:val="BC468424"/>
    <w:lvl w:ilvl="0" w:tplc="369EC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F3BC3"/>
    <w:multiLevelType w:val="hybridMultilevel"/>
    <w:tmpl w:val="FB6AD80A"/>
    <w:lvl w:ilvl="0" w:tplc="7EEE0B26">
      <w:start w:val="1"/>
      <w:numFmt w:val="decimal"/>
      <w:pStyle w:val="Listanumerowana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56E92"/>
    <w:multiLevelType w:val="hybridMultilevel"/>
    <w:tmpl w:val="3962E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65958"/>
    <w:multiLevelType w:val="hybridMultilevel"/>
    <w:tmpl w:val="B7F27654"/>
    <w:lvl w:ilvl="0" w:tplc="369EC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5952" w:themeColor="accent1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4534A"/>
    <w:multiLevelType w:val="hybridMultilevel"/>
    <w:tmpl w:val="0CA20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34274"/>
    <w:multiLevelType w:val="hybridMultilevel"/>
    <w:tmpl w:val="28DC00DE"/>
    <w:lvl w:ilvl="0" w:tplc="08B453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40C20"/>
    <w:multiLevelType w:val="hybridMultilevel"/>
    <w:tmpl w:val="CE0A08DA"/>
    <w:lvl w:ilvl="0" w:tplc="047C8A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889846">
    <w:abstractNumId w:val="9"/>
  </w:num>
  <w:num w:numId="2" w16cid:durableId="841968185">
    <w:abstractNumId w:val="17"/>
  </w:num>
  <w:num w:numId="3" w16cid:durableId="1541821109">
    <w:abstractNumId w:val="17"/>
  </w:num>
  <w:num w:numId="4" w16cid:durableId="345835766">
    <w:abstractNumId w:val="17"/>
  </w:num>
  <w:num w:numId="5" w16cid:durableId="1497719792">
    <w:abstractNumId w:val="17"/>
  </w:num>
  <w:num w:numId="6" w16cid:durableId="1723867202">
    <w:abstractNumId w:val="8"/>
  </w:num>
  <w:num w:numId="7" w16cid:durableId="770393810">
    <w:abstractNumId w:val="22"/>
  </w:num>
  <w:num w:numId="8" w16cid:durableId="414329182">
    <w:abstractNumId w:val="7"/>
  </w:num>
  <w:num w:numId="9" w16cid:durableId="1422599415">
    <w:abstractNumId w:val="6"/>
  </w:num>
  <w:num w:numId="10" w16cid:durableId="1017000651">
    <w:abstractNumId w:val="5"/>
  </w:num>
  <w:num w:numId="11" w16cid:durableId="313339129">
    <w:abstractNumId w:val="4"/>
  </w:num>
  <w:num w:numId="12" w16cid:durableId="2122454483">
    <w:abstractNumId w:val="3"/>
  </w:num>
  <w:num w:numId="13" w16cid:durableId="468980742">
    <w:abstractNumId w:val="2"/>
  </w:num>
  <w:num w:numId="14" w16cid:durableId="159469307">
    <w:abstractNumId w:val="1"/>
  </w:num>
  <w:num w:numId="15" w16cid:durableId="703167829">
    <w:abstractNumId w:val="0"/>
  </w:num>
  <w:num w:numId="16" w16cid:durableId="889344446">
    <w:abstractNumId w:val="18"/>
  </w:num>
  <w:num w:numId="17" w16cid:durableId="834222573">
    <w:abstractNumId w:val="22"/>
  </w:num>
  <w:num w:numId="18" w16cid:durableId="726685999">
    <w:abstractNumId w:val="16"/>
  </w:num>
  <w:num w:numId="19" w16cid:durableId="276644214">
    <w:abstractNumId w:val="21"/>
  </w:num>
  <w:num w:numId="20" w16cid:durableId="2145460907">
    <w:abstractNumId w:val="22"/>
  </w:num>
  <w:num w:numId="21" w16cid:durableId="597758269">
    <w:abstractNumId w:val="22"/>
  </w:num>
  <w:num w:numId="22" w16cid:durableId="1857041394">
    <w:abstractNumId w:val="22"/>
  </w:num>
  <w:num w:numId="23" w16cid:durableId="1082871393">
    <w:abstractNumId w:val="22"/>
  </w:num>
  <w:num w:numId="24" w16cid:durableId="2014648638">
    <w:abstractNumId w:val="22"/>
  </w:num>
  <w:num w:numId="25" w16cid:durableId="9833208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05069083">
    <w:abstractNumId w:val="15"/>
  </w:num>
  <w:num w:numId="27" w16cid:durableId="419133612">
    <w:abstractNumId w:val="13"/>
  </w:num>
  <w:num w:numId="28" w16cid:durableId="694311594">
    <w:abstractNumId w:val="10"/>
  </w:num>
  <w:num w:numId="29" w16cid:durableId="2116363885">
    <w:abstractNumId w:val="20"/>
  </w:num>
  <w:num w:numId="30" w16cid:durableId="690109183">
    <w:abstractNumId w:val="12"/>
  </w:num>
  <w:num w:numId="31" w16cid:durableId="1463160091">
    <w:abstractNumId w:val="11"/>
  </w:num>
  <w:num w:numId="32" w16cid:durableId="4551604">
    <w:abstractNumId w:val="23"/>
  </w:num>
  <w:num w:numId="33" w16cid:durableId="1668243760">
    <w:abstractNumId w:val="14"/>
  </w:num>
  <w:num w:numId="34" w16cid:durableId="32617628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1F"/>
    <w:rsid w:val="00084979"/>
    <w:rsid w:val="00090678"/>
    <w:rsid w:val="000932F8"/>
    <w:rsid w:val="000A05A9"/>
    <w:rsid w:val="000E2FEA"/>
    <w:rsid w:val="00166689"/>
    <w:rsid w:val="00203C24"/>
    <w:rsid w:val="00280A09"/>
    <w:rsid w:val="002D47F0"/>
    <w:rsid w:val="003101E3"/>
    <w:rsid w:val="00317ED0"/>
    <w:rsid w:val="003667D4"/>
    <w:rsid w:val="004474F0"/>
    <w:rsid w:val="00474A7D"/>
    <w:rsid w:val="004764FF"/>
    <w:rsid w:val="00554443"/>
    <w:rsid w:val="0057528B"/>
    <w:rsid w:val="005B60B6"/>
    <w:rsid w:val="00642B44"/>
    <w:rsid w:val="007439C8"/>
    <w:rsid w:val="007C0B81"/>
    <w:rsid w:val="007C4364"/>
    <w:rsid w:val="007D23C9"/>
    <w:rsid w:val="00816F0E"/>
    <w:rsid w:val="008A111E"/>
    <w:rsid w:val="008B684D"/>
    <w:rsid w:val="008B68D4"/>
    <w:rsid w:val="008C2C4F"/>
    <w:rsid w:val="008C3C0F"/>
    <w:rsid w:val="008F1BB8"/>
    <w:rsid w:val="00962AE0"/>
    <w:rsid w:val="0097604D"/>
    <w:rsid w:val="009877FB"/>
    <w:rsid w:val="009D47CA"/>
    <w:rsid w:val="009D5DB1"/>
    <w:rsid w:val="009E34B2"/>
    <w:rsid w:val="009E4642"/>
    <w:rsid w:val="009E7E62"/>
    <w:rsid w:val="00B41D73"/>
    <w:rsid w:val="00B75FED"/>
    <w:rsid w:val="00B832D7"/>
    <w:rsid w:val="00BD7B85"/>
    <w:rsid w:val="00BE2273"/>
    <w:rsid w:val="00C67000"/>
    <w:rsid w:val="00D5616C"/>
    <w:rsid w:val="00DA66AB"/>
    <w:rsid w:val="00DC2957"/>
    <w:rsid w:val="00E71959"/>
    <w:rsid w:val="00E85059"/>
    <w:rsid w:val="00E9361F"/>
    <w:rsid w:val="00FB1A20"/>
    <w:rsid w:val="00FF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9C4240"/>
  <w15:chartTrackingRefBased/>
  <w15:docId w15:val="{C9E8D8CF-DA64-C542-AC8A-FE9D86A4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F5F5F" w:themeColor="text2" w:themeTint="BF"/>
        <w:sz w:val="24"/>
        <w:szCs w:val="24"/>
        <w:lang w:val="pl-PL" w:eastAsia="ja-JP" w:bidi="pl-PL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6F0E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280" w:line="240" w:lineRule="auto"/>
      <w:contextualSpacing/>
      <w:outlineLvl w:val="1"/>
    </w:pPr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317" w:after="317"/>
      <w:contextualSpacing/>
      <w:outlineLvl w:val="2"/>
    </w:pPr>
    <w:rPr>
      <w:rFonts w:asciiTheme="majorHAnsi" w:eastAsiaTheme="majorEastAsia" w:hAnsiTheme="majorHAnsi" w:cstheme="majorBidi"/>
      <w:b/>
      <w:color w:val="F75952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317" w:after="317"/>
      <w:contextualSpacing/>
      <w:outlineLvl w:val="3"/>
    </w:pPr>
    <w:rPr>
      <w:rFonts w:asciiTheme="majorHAnsi" w:eastAsiaTheme="majorEastAsia" w:hAnsiTheme="majorHAnsi" w:cstheme="majorBidi"/>
      <w:b/>
      <w:i/>
      <w:iCs/>
      <w:color w:val="2A2A2A" w:themeColor="text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317" w:after="317"/>
      <w:outlineLvl w:val="4"/>
    </w:pPr>
    <w:rPr>
      <w:rFonts w:asciiTheme="majorHAnsi" w:eastAsiaTheme="majorEastAsia" w:hAnsiTheme="majorHAnsi" w:cstheme="majorBidi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317" w:after="317"/>
      <w:contextualSpacing/>
      <w:outlineLvl w:val="5"/>
    </w:pPr>
    <w:rPr>
      <w:rFonts w:asciiTheme="majorHAnsi" w:eastAsiaTheme="majorEastAsia" w:hAnsiTheme="majorHAnsi" w:cstheme="majorBidi"/>
      <w:b/>
      <w:caps/>
      <w:color w:val="2A2A2A" w:themeColor="text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317" w:after="317"/>
      <w:contextualSpacing/>
      <w:outlineLvl w:val="6"/>
    </w:pPr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317" w:after="317"/>
      <w:contextualSpacing/>
      <w:outlineLvl w:val="7"/>
    </w:pPr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317" w:after="317"/>
      <w:contextualSpacing/>
      <w:outlineLvl w:val="8"/>
    </w:pPr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Listapunktowana">
    <w:name w:val="List Bullet"/>
    <w:basedOn w:val="Normalny"/>
    <w:uiPriority w:val="12"/>
    <w:qFormat/>
    <w:pPr>
      <w:spacing w:after="160"/>
    </w:pPr>
    <w:rPr>
      <w:i/>
      <w:szCs w:val="20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Cytat">
    <w:name w:val="Quote"/>
    <w:basedOn w:val="Normalny"/>
    <w:next w:val="Normalny"/>
    <w:link w:val="CytatZnak"/>
    <w:uiPriority w:val="10"/>
    <w:qFormat/>
    <w:pPr>
      <w:spacing w:before="320" w:after="320" w:line="264" w:lineRule="auto"/>
      <w:contextualSpacing/>
    </w:pPr>
    <w:rPr>
      <w:b/>
      <w:iCs/>
      <w:color w:val="F75952" w:themeColor="accent1"/>
      <w:sz w:val="54"/>
    </w:rPr>
  </w:style>
  <w:style w:type="character" w:customStyle="1" w:styleId="CytatZnak">
    <w:name w:val="Cytat Znak"/>
    <w:basedOn w:val="Domylnaczcionkaakapitu"/>
    <w:link w:val="Cytat"/>
    <w:uiPriority w:val="10"/>
    <w:rPr>
      <w:b/>
      <w:iCs/>
      <w:color w:val="F75952" w:themeColor="accent1"/>
      <w:sz w:val="54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color w:val="F75952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i/>
      <w:iCs/>
      <w:color w:val="2A2A2A" w:themeColor="text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b/>
      <w:i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b/>
      <w:caps/>
      <w:color w:val="2A2A2A" w:themeColor="text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Indeks3">
    <w:name w:val="index 3"/>
    <w:basedOn w:val="Normalny"/>
    <w:next w:val="Normalny"/>
    <w:autoRedefine/>
    <w:uiPriority w:val="99"/>
    <w:semiHidden/>
    <w:unhideWhenUsed/>
    <w:pPr>
      <w:spacing w:before="317" w:after="317" w:line="240" w:lineRule="auto"/>
      <w:ind w:left="720" w:hanging="245"/>
      <w:contextualSpacing/>
    </w:pPr>
    <w:rPr>
      <w:b/>
      <w:color w:val="F75952" w:themeColor="accent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styleId="Uwydatnienie">
    <w:name w:val="Emphasis"/>
    <w:basedOn w:val="Domylnaczcionkaakapitu"/>
    <w:uiPriority w:val="10"/>
    <w:qFormat/>
    <w:rPr>
      <w:b w:val="0"/>
      <w:i w:val="0"/>
      <w:iCs/>
      <w:color w:val="F75952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320" w:after="320" w:line="264" w:lineRule="auto"/>
      <w:contextualSpacing/>
    </w:pPr>
    <w:rPr>
      <w:b/>
      <w:i/>
      <w:iCs/>
      <w:color w:val="F75952" w:themeColor="accent1"/>
      <w:sz w:val="5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b/>
      <w:i/>
      <w:iCs/>
      <w:color w:val="F75952" w:themeColor="accent1"/>
      <w:sz w:val="54"/>
    </w:rPr>
  </w:style>
  <w:style w:type="paragraph" w:styleId="Akapitzlist">
    <w:name w:val="List Paragraph"/>
    <w:basedOn w:val="Normalny"/>
    <w:uiPriority w:val="34"/>
    <w:unhideWhenUsed/>
    <w:qFormat/>
    <w:pPr>
      <w:contextualSpacing/>
    </w:pPr>
    <w:rPr>
      <w:i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40" w:lineRule="auto"/>
    </w:pPr>
    <w:rPr>
      <w:i/>
      <w:iCs/>
      <w:sz w:val="20"/>
      <w:szCs w:val="18"/>
    </w:rPr>
  </w:style>
  <w:style w:type="paragraph" w:styleId="Nagwekspisutreci">
    <w:name w:val="TOC Heading"/>
    <w:basedOn w:val="Nagwek1"/>
    <w:next w:val="Normalny"/>
    <w:uiPriority w:val="38"/>
    <w:qFormat/>
    <w:pPr>
      <w:spacing w:after="1320"/>
      <w:outlineLvl w:val="9"/>
    </w:pPr>
  </w:style>
  <w:style w:type="paragraph" w:styleId="Stopka">
    <w:name w:val="footer"/>
    <w:basedOn w:val="Normalny"/>
    <w:link w:val="StopkaZnak"/>
    <w:uiPriority w:val="99"/>
    <w:unhideWhenUsed/>
    <w:qFormat/>
    <w:pPr>
      <w:spacing w:after="0" w:line="240" w:lineRule="auto"/>
    </w:pPr>
    <w:rPr>
      <w:b/>
      <w:color w:val="F75952" w:themeColor="accent1"/>
      <w:sz w:val="38"/>
      <w:szCs w:val="38"/>
    </w:rPr>
  </w:style>
  <w:style w:type="character" w:customStyle="1" w:styleId="StopkaZnak">
    <w:name w:val="Stopka Znak"/>
    <w:basedOn w:val="Domylnaczcionkaakapitu"/>
    <w:link w:val="Stopka"/>
    <w:uiPriority w:val="99"/>
    <w:rPr>
      <w:b/>
      <w:color w:val="F75952" w:themeColor="accent1"/>
      <w:sz w:val="38"/>
      <w:szCs w:val="38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aps/>
      <w:smallCaps w:val="0"/>
      <w:color w:val="F75952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caps/>
      <w:smallCaps w:val="0"/>
      <w:color w:val="3E3E3E" w:themeColor="text2" w:themeTint="E6"/>
      <w:spacing w:val="0"/>
    </w:rPr>
  </w:style>
  <w:style w:type="character" w:styleId="Pogrubienie">
    <w:name w:val="Strong"/>
    <w:basedOn w:val="Domylnaczcionkaakapitu"/>
    <w:uiPriority w:val="8"/>
    <w:semiHidden/>
    <w:unhideWhenUsed/>
    <w:qFormat/>
    <w:rPr>
      <w:b/>
      <w:bCs/>
      <w:color w:val="3E3E3E" w:themeColor="text2" w:themeTint="E6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5F5F5F" w:themeColor="text2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caps/>
      <w:smallCaps w:val="0"/>
      <w:color w:val="5F5F5F" w:themeColor="text2" w:themeTint="BF"/>
    </w:rPr>
  </w:style>
  <w:style w:type="character" w:styleId="Tytuksiki">
    <w:name w:val="Book Title"/>
    <w:basedOn w:val="Domylnaczcionkaakapitu"/>
    <w:uiPriority w:val="33"/>
    <w:semiHidden/>
    <w:unhideWhenUsed/>
    <w:qFormat/>
    <w:rPr>
      <w:b w:val="0"/>
      <w:bCs/>
      <w:i/>
      <w:iCs/>
      <w:color w:val="3E3E3E" w:themeColor="text2" w:themeTint="E6"/>
      <w:spacing w:val="0"/>
    </w:rPr>
  </w:style>
  <w:style w:type="paragraph" w:styleId="Tytu">
    <w:name w:val="Title"/>
    <w:basedOn w:val="Normalny"/>
    <w:next w:val="Podtytu"/>
    <w:link w:val="TytuZnak"/>
    <w:uiPriority w:val="1"/>
    <w:qFormat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character" w:customStyle="1" w:styleId="TytuZnak">
    <w:name w:val="Tytuł Znak"/>
    <w:basedOn w:val="Domylnaczcionkaakapitu"/>
    <w:link w:val="Tytu"/>
    <w:uiPriority w:val="1"/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paragraph" w:styleId="Podtytu">
    <w:name w:val="Subtitle"/>
    <w:basedOn w:val="Normalny"/>
    <w:next w:val="Autor"/>
    <w:link w:val="PodtytuZnak"/>
    <w:uiPriority w:val="2"/>
    <w:qFormat/>
    <w:pPr>
      <w:numPr>
        <w:ilvl w:val="1"/>
      </w:numPr>
      <w:spacing w:after="160"/>
    </w:pPr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character" w:customStyle="1" w:styleId="PodtytuZnak">
    <w:name w:val="Podtytuł Znak"/>
    <w:basedOn w:val="Domylnaczcionkaakapitu"/>
    <w:link w:val="Podtytu"/>
    <w:uiPriority w:val="2"/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pPr>
      <w:tabs>
        <w:tab w:val="right" w:leader="dot" w:pos="8630"/>
      </w:tabs>
      <w:spacing w:before="600" w:after="240"/>
    </w:pPr>
    <w:rPr>
      <w:rFonts w:asciiTheme="majorHAnsi" w:hAnsiTheme="majorHAnsi"/>
      <w:b/>
      <w:bCs/>
      <w:caps/>
      <w:color w:val="2A2A2A" w:themeColor="text2"/>
      <w:sz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pPr>
      <w:tabs>
        <w:tab w:val="right" w:leader="dot" w:pos="8630"/>
      </w:tabs>
      <w:spacing w:before="120" w:after="0" w:line="240" w:lineRule="auto"/>
    </w:pPr>
    <w:rPr>
      <w:bCs/>
      <w:szCs w:val="20"/>
    </w:rPr>
  </w:style>
  <w:style w:type="table" w:customStyle="1" w:styleId="Generaltable">
    <w:name w:val="General table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insideH w:val="single" w:sz="8" w:space="0" w:color="C9C9C9" w:themeColor="text2" w:themeTint="40"/>
      </w:tblBorders>
      <w:tblCellMar>
        <w:left w:w="0" w:type="dxa"/>
        <w:right w:w="504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/>
        <w:smallCaps w:val="0"/>
        <w:color w:val="2A2A2A" w:themeColor="text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576" w:type="dxa"/>
          <w:left w:w="0" w:type="nil"/>
          <w:bottom w:w="360" w:type="dxa"/>
          <w:right w:w="0" w:type="nil"/>
        </w:tcMar>
      </w:tcPr>
    </w:tblStylePr>
    <w:tblStylePr w:type="firstCol">
      <w:pPr>
        <w:wordWrap/>
        <w:jc w:val="right"/>
      </w:pPr>
      <w:rPr>
        <w:b/>
        <w:i w:val="0"/>
        <w:color w:val="F75952" w:themeColor="accen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band2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</w:tblStylePr>
  </w:style>
  <w:style w:type="paragraph" w:customStyle="1" w:styleId="Autor">
    <w:name w:val="Autor"/>
    <w:basedOn w:val="Normalny"/>
    <w:uiPriority w:val="3"/>
    <w:qFormat/>
    <w:pPr>
      <w:spacing w:after="0"/>
    </w:pPr>
    <w:rPr>
      <w:b/>
      <w:color w:val="2A2A2A" w:themeColor="text2"/>
      <w:sz w:val="30"/>
    </w:rPr>
  </w:style>
  <w:style w:type="paragraph" w:styleId="Nagwek">
    <w:name w:val="header"/>
    <w:basedOn w:val="Normalny"/>
    <w:link w:val="NagwekZnak"/>
    <w:uiPriority w:val="99"/>
    <w:unhideWhenUsed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Listanumerowana">
    <w:name w:val="List Number"/>
    <w:basedOn w:val="Normalny"/>
    <w:uiPriority w:val="13"/>
    <w:qFormat/>
    <w:pPr>
      <w:numPr>
        <w:numId w:val="16"/>
      </w:numPr>
    </w:pPr>
    <w:rPr>
      <w:i/>
    </w:rPr>
  </w:style>
  <w:style w:type="character" w:styleId="Hipercze">
    <w:name w:val="Hyperlink"/>
    <w:basedOn w:val="Domylnaczcionkaakapitu"/>
    <w:uiPriority w:val="99"/>
    <w:unhideWhenUsed/>
    <w:rsid w:val="00B832D7"/>
    <w:rPr>
      <w:color w:val="B67AC3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32D7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962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pl-PL" w:bidi="ar-SA"/>
    </w:rPr>
  </w:style>
  <w:style w:type="character" w:customStyle="1" w:styleId="eop">
    <w:name w:val="eop"/>
    <w:basedOn w:val="Domylnaczcionkaakapitu"/>
    <w:rsid w:val="00962AE0"/>
  </w:style>
  <w:style w:type="character" w:customStyle="1" w:styleId="normaltextrun">
    <w:name w:val="normaltextrun"/>
    <w:basedOn w:val="Domylnaczcionkaakapitu"/>
    <w:rsid w:val="00962AE0"/>
  </w:style>
  <w:style w:type="character" w:styleId="UyteHipercze">
    <w:name w:val="FollowedHyperlink"/>
    <w:basedOn w:val="Domylnaczcionkaakapitu"/>
    <w:uiPriority w:val="99"/>
    <w:semiHidden/>
    <w:unhideWhenUsed/>
    <w:rsid w:val="00FF2562"/>
    <w:rPr>
      <w:color w:val="6AC7C9" w:themeColor="followedHyperlink"/>
      <w:u w:val="single"/>
    </w:rPr>
  </w:style>
  <w:style w:type="paragraph" w:styleId="Poprawka">
    <w:name w:val="Revision"/>
    <w:hidden/>
    <w:uiPriority w:val="99"/>
    <w:semiHidden/>
    <w:rsid w:val="00DA66A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752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2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2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2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2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7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businessdisabilityforum.org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hevaluable500.com/our-wor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disabilityin.org/" TargetMode="External"/><Relationship Id="rId10" Type="http://schemas.openxmlformats.org/officeDocument/2006/relationships/footnotes" Target="footnotes.xml"/><Relationship Id="rId19" Type="http://schemas.openxmlformats.org/officeDocument/2006/relationships/image" Target="cid:image001.png@01DA2C88.F886D010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38">
      <a:dk1>
        <a:sysClr val="windowText" lastClr="000000"/>
      </a:dk1>
      <a:lt1>
        <a:sysClr val="window" lastClr="FFFFFF"/>
      </a:lt1>
      <a:dk2>
        <a:srgbClr val="2A2A2A"/>
      </a:dk2>
      <a:lt2>
        <a:srgbClr val="FBFBF8"/>
      </a:lt2>
      <a:accent1>
        <a:srgbClr val="F75952"/>
      </a:accent1>
      <a:accent2>
        <a:srgbClr val="6AC7C9"/>
      </a:accent2>
      <a:accent3>
        <a:srgbClr val="F98A37"/>
      </a:accent3>
      <a:accent4>
        <a:srgbClr val="75BB6E"/>
      </a:accent4>
      <a:accent5>
        <a:srgbClr val="B67AC3"/>
      </a:accent5>
      <a:accent6>
        <a:srgbClr val="F7C94D"/>
      </a:accent6>
      <a:hlink>
        <a:srgbClr val="B67AC3"/>
      </a:hlink>
      <a:folHlink>
        <a:srgbClr val="6AC7C9"/>
      </a:folHlink>
    </a:clrScheme>
    <a:fontScheme name="Verdana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F262BC0-24BC-3143-B96F-C1561F694A32}">
  <we:reference id="wa104379997" version="1.0.0.1" store="pl-PL" storeType="OMEX"/>
  <we:alternateReferences>
    <we:reference id="wa104379997" version="1.0.0.1" store="wa10437999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CTQFD2CFPMXN-979-676</_dlc_DocId>
    <_dlc_DocIdUrl xmlns="498267d4-2a5a-4c72-99d3-cf7236a95ce8">
      <Url>https://msft.spoppe.com/teams/cpub/teams/Consumer/templates/_layouts/15/DocIdRedir.aspx?ID=CTQFD2CFPMXN-979-676</Url>
      <Description>CTQFD2CFPMXN-979-676</Description>
    </_dlc_DocIdUrl>
    <SharedWithDetails xmlns="498267d4-2a5a-4c72-99d3-cf7236a95ce8">{}</SharedWithDetails>
    <SharedWithUsers xmlns="498267d4-2a5a-4c72-99d3-cf7236a95ce8">
      <UserInfo>
        <DisplayName/>
        <AccountId xsi:nil="true"/>
        <AccountType/>
      </UserInfo>
    </SharedWithUsers>
    <SharingHintHash xmlns="498267d4-2a5a-4c72-99d3-cf7236a95ce8">1245024977</SharingHintHash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FA49B8-B6EE-4B3F-B22F-E9F8C6A0094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00DB6FE-DF17-4741-ACCE-BDED9F9E1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3CED26-0910-4819-874B-D8E2CCD421FE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customXml/itemProps4.xml><?xml version="1.0" encoding="utf-8"?>
<ds:datastoreItem xmlns:ds="http://schemas.openxmlformats.org/officeDocument/2006/customXml" ds:itemID="{BB083F78-D6DD-40BF-8378-BF9DFDAC299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79E6113-9D61-48C6-AB23-FE01243665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12</Pages>
  <Words>2273</Words>
  <Characters>13642</Characters>
  <Application>Microsoft Office Word</Application>
  <DocSecurity>0</DocSecurity>
  <Lines>113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Kocór</dc:creator>
  <cp:keywords/>
  <dc:description/>
  <cp:lastModifiedBy>Marta Bylica</cp:lastModifiedBy>
  <cp:revision>15</cp:revision>
  <dcterms:created xsi:type="dcterms:W3CDTF">2023-12-13T19:27:00Z</dcterms:created>
  <dcterms:modified xsi:type="dcterms:W3CDTF">2023-12-18T09:44:00Z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40c25c02-a5e0-48a4-913c-93e0d5121f72</vt:lpwstr>
  </property>
  <property fmtid="{D5CDD505-2E9C-101B-9397-08002B2CF9AE}" pid="3" name="ContentTypeId">
    <vt:lpwstr>0x010100012E2E405031D74DB051ADDB3D34E572</vt:lpwstr>
  </property>
</Properties>
</file>