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3ECF" w14:textId="1454C7CA" w:rsidR="009E4642" w:rsidRPr="00E94551" w:rsidRDefault="00FF467F" w:rsidP="00283AEC">
      <w:pPr>
        <w:pStyle w:val="Tytu"/>
        <w:spacing w:after="0"/>
        <w:ind w:left="-284" w:right="-482"/>
        <w:rPr>
          <w:sz w:val="56"/>
        </w:rPr>
      </w:pPr>
      <w:r w:rsidRPr="00FF467F">
        <w:rPr>
          <w:sz w:val="56"/>
        </w:rPr>
        <w:t>BRAK ZAPEWNIENIA DOSTĘPNOŚCI OSOBOM ZE SZCZEGÓLNYMI POTRZEBAMI</w:t>
      </w:r>
    </w:p>
    <w:p w14:paraId="1A0A663D" w14:textId="64F75829" w:rsidR="009E4642" w:rsidRDefault="00FF467F" w:rsidP="00283AEC">
      <w:pPr>
        <w:pStyle w:val="Podtytu"/>
        <w:spacing w:after="0"/>
      </w:pPr>
      <w:r>
        <w:t>Postępowania skargowe</w:t>
      </w:r>
    </w:p>
    <w:p w14:paraId="1C01003D" w14:textId="3D1996C4" w:rsidR="009E4642" w:rsidRPr="00172FC9" w:rsidRDefault="00FF467F" w:rsidP="00283AEC">
      <w:pPr>
        <w:spacing w:after="0"/>
        <w:jc w:val="center"/>
        <w:rPr>
          <w:caps/>
        </w:rPr>
      </w:pPr>
      <w:r>
        <w:rPr>
          <w:caps/>
          <w:noProof/>
        </w:rPr>
        <w:drawing>
          <wp:inline distT="0" distB="0" distL="0" distR="0" wp14:anchorId="19B9ACA1" wp14:editId="791C4681">
            <wp:extent cx="5274945" cy="3521710"/>
            <wp:effectExtent l="0" t="0" r="0" b="0"/>
            <wp:docPr id="135442579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42579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205F0" w14:textId="77777777" w:rsidR="00B832D7" w:rsidRDefault="00B832D7" w:rsidP="00283AEC">
      <w:pPr>
        <w:pStyle w:val="Autor"/>
        <w:jc w:val="right"/>
      </w:pPr>
    </w:p>
    <w:p w14:paraId="6D72E1F9" w14:textId="394F73F8" w:rsidR="009E4642" w:rsidRPr="00816F0E" w:rsidRDefault="00FF467F" w:rsidP="00283AEC">
      <w:pPr>
        <w:pStyle w:val="Autor"/>
      </w:pPr>
      <w:r>
        <w:t>Agata Cebera</w:t>
      </w:r>
    </w:p>
    <w:p w14:paraId="6B54080A" w14:textId="77777777" w:rsidR="009E4642" w:rsidRPr="00816F0E" w:rsidRDefault="00816F0E" w:rsidP="00283AEC">
      <w:pPr>
        <w:spacing w:after="0"/>
      </w:pPr>
      <w:r>
        <w:br w:type="page"/>
      </w:r>
    </w:p>
    <w:bookmarkStart w:id="0" w:name="_Toc152329325" w:displacedByCustomXml="next"/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2138807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8AD683A" w14:textId="77777777" w:rsidR="00AF3720" w:rsidRPr="00AF3720" w:rsidRDefault="00AF3720" w:rsidP="00283AEC">
          <w:pPr>
            <w:pStyle w:val="Nagwekspisutreci"/>
            <w:spacing w:after="0"/>
            <w:rPr>
              <w:color w:val="F75952" w:themeColor="accent1"/>
            </w:rPr>
          </w:pPr>
          <w:r w:rsidRPr="00AF3720">
            <w:rPr>
              <w:color w:val="F75952" w:themeColor="accent1"/>
            </w:rPr>
            <w:t>Spis</w:t>
          </w:r>
        </w:p>
        <w:p w14:paraId="1004354E" w14:textId="4C71E6BB" w:rsidR="00AF3720" w:rsidRDefault="00AF3720" w:rsidP="00283AEC">
          <w:pPr>
            <w:pStyle w:val="Nagwekspisutreci"/>
            <w:spacing w:after="0"/>
          </w:pPr>
          <w:r>
            <w:t>treści</w:t>
          </w:r>
        </w:p>
        <w:p w14:paraId="5A049DF0" w14:textId="5EE062A9" w:rsidR="00283AEC" w:rsidRPr="00283AEC" w:rsidRDefault="00AF3720" w:rsidP="00283AEC">
          <w:pPr>
            <w:pStyle w:val="Spistreci1"/>
            <w:rPr>
              <w:rFonts w:eastAsiaTheme="minorEastAsia"/>
              <w:i w:val="0"/>
              <w:iCs w:val="0"/>
              <w:noProof/>
              <w:color w:val="auto"/>
              <w:kern w:val="2"/>
              <w:lang w:eastAsia="pl-PL" w:bidi="ar-SA"/>
              <w14:ligatures w14:val="standardContextual"/>
            </w:rPr>
          </w:pPr>
          <w:r w:rsidRPr="00283AEC">
            <w:rPr>
              <w:i w:val="0"/>
              <w:iCs w:val="0"/>
              <w:sz w:val="28"/>
              <w:szCs w:val="28"/>
            </w:rPr>
            <w:fldChar w:fldCharType="begin"/>
          </w:r>
          <w:r w:rsidRPr="00283AEC">
            <w:rPr>
              <w:i w:val="0"/>
              <w:iCs w:val="0"/>
              <w:sz w:val="28"/>
              <w:szCs w:val="28"/>
            </w:rPr>
            <w:instrText>TOC \o "1-3" \h \z \u</w:instrText>
          </w:r>
          <w:r w:rsidRPr="00283AEC">
            <w:rPr>
              <w:i w:val="0"/>
              <w:iCs w:val="0"/>
              <w:sz w:val="28"/>
              <w:szCs w:val="28"/>
            </w:rPr>
            <w:fldChar w:fldCharType="separate"/>
          </w:r>
          <w:hyperlink w:anchor="_Toc154779961" w:history="1">
            <w:r w:rsidR="00283AEC" w:rsidRPr="00283AEC">
              <w:rPr>
                <w:rStyle w:val="Hipercze"/>
                <w:i w:val="0"/>
                <w:iCs w:val="0"/>
                <w:noProof/>
              </w:rPr>
              <w:t>Wprowadzenie</w:t>
            </w:r>
            <w:r w:rsidR="00283AEC" w:rsidRPr="00283AEC">
              <w:rPr>
                <w:i w:val="0"/>
                <w:iCs w:val="0"/>
                <w:noProof/>
                <w:webHidden/>
              </w:rPr>
              <w:tab/>
            </w:r>
            <w:r w:rsidR="00283AEC" w:rsidRPr="00283AEC">
              <w:rPr>
                <w:i w:val="0"/>
                <w:iCs w:val="0"/>
                <w:noProof/>
                <w:webHidden/>
              </w:rPr>
              <w:fldChar w:fldCharType="begin"/>
            </w:r>
            <w:r w:rsidR="00283AEC" w:rsidRPr="00283AEC">
              <w:rPr>
                <w:i w:val="0"/>
                <w:iCs w:val="0"/>
                <w:noProof/>
                <w:webHidden/>
              </w:rPr>
              <w:instrText xml:space="preserve"> PAGEREF _Toc154779961 \h </w:instrText>
            </w:r>
            <w:r w:rsidR="00283AEC" w:rsidRPr="00283AEC">
              <w:rPr>
                <w:i w:val="0"/>
                <w:iCs w:val="0"/>
                <w:noProof/>
                <w:webHidden/>
              </w:rPr>
            </w:r>
            <w:r w:rsidR="00283AEC" w:rsidRPr="00283AEC">
              <w:rPr>
                <w:i w:val="0"/>
                <w:iCs w:val="0"/>
                <w:noProof/>
                <w:webHidden/>
              </w:rPr>
              <w:fldChar w:fldCharType="separate"/>
            </w:r>
            <w:r w:rsidR="00283AEC" w:rsidRPr="00283AEC">
              <w:rPr>
                <w:i w:val="0"/>
                <w:iCs w:val="0"/>
                <w:noProof/>
                <w:webHidden/>
              </w:rPr>
              <w:t>3</w:t>
            </w:r>
            <w:r w:rsidR="00283AEC" w:rsidRPr="00283AEC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E2BF931" w14:textId="4E5070DC" w:rsidR="00283AEC" w:rsidRPr="00283AEC" w:rsidRDefault="00283AEC" w:rsidP="00283AEC">
          <w:pPr>
            <w:pStyle w:val="Spistreci1"/>
            <w:rPr>
              <w:rFonts w:eastAsiaTheme="minorEastAsia"/>
              <w:i w:val="0"/>
              <w:iCs w:val="0"/>
              <w:noProof/>
              <w:color w:val="auto"/>
              <w:kern w:val="2"/>
              <w:lang w:eastAsia="pl-PL" w:bidi="ar-SA"/>
              <w14:ligatures w14:val="standardContextual"/>
            </w:rPr>
          </w:pPr>
          <w:hyperlink w:anchor="_Toc154779962" w:history="1">
            <w:r w:rsidRPr="00283AEC">
              <w:rPr>
                <w:rStyle w:val="Hipercze"/>
                <w:i w:val="0"/>
                <w:iCs w:val="0"/>
                <w:noProof/>
              </w:rPr>
              <w:t>Charakter obowiązków wprowadzonych ustawą</w:t>
            </w:r>
            <w:r w:rsidRPr="00283AEC">
              <w:rPr>
                <w:i w:val="0"/>
                <w:iCs w:val="0"/>
                <w:noProof/>
                <w:webHidden/>
              </w:rPr>
              <w:tab/>
            </w:r>
            <w:r w:rsidRPr="00283AEC">
              <w:rPr>
                <w:i w:val="0"/>
                <w:iCs w:val="0"/>
                <w:noProof/>
                <w:webHidden/>
              </w:rPr>
              <w:fldChar w:fldCharType="begin"/>
            </w:r>
            <w:r w:rsidRPr="00283AEC">
              <w:rPr>
                <w:i w:val="0"/>
                <w:iCs w:val="0"/>
                <w:noProof/>
                <w:webHidden/>
              </w:rPr>
              <w:instrText xml:space="preserve"> PAGEREF _Toc154779962 \h </w:instrText>
            </w:r>
            <w:r w:rsidRPr="00283AEC">
              <w:rPr>
                <w:i w:val="0"/>
                <w:iCs w:val="0"/>
                <w:noProof/>
                <w:webHidden/>
              </w:rPr>
            </w:r>
            <w:r w:rsidRPr="00283AEC">
              <w:rPr>
                <w:i w:val="0"/>
                <w:iCs w:val="0"/>
                <w:noProof/>
                <w:webHidden/>
              </w:rPr>
              <w:fldChar w:fldCharType="separate"/>
            </w:r>
            <w:r w:rsidRPr="00283AEC">
              <w:rPr>
                <w:i w:val="0"/>
                <w:iCs w:val="0"/>
                <w:noProof/>
                <w:webHidden/>
              </w:rPr>
              <w:t>3</w:t>
            </w:r>
            <w:r w:rsidRPr="00283AEC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803DA6A" w14:textId="579C1A63" w:rsidR="00283AEC" w:rsidRPr="00283AEC" w:rsidRDefault="00283AEC" w:rsidP="00283AEC">
          <w:pPr>
            <w:pStyle w:val="Spistreci1"/>
            <w:rPr>
              <w:rFonts w:eastAsiaTheme="minorEastAsia"/>
              <w:i w:val="0"/>
              <w:iCs w:val="0"/>
              <w:noProof/>
              <w:color w:val="auto"/>
              <w:kern w:val="2"/>
              <w:lang w:eastAsia="pl-PL" w:bidi="ar-SA"/>
              <w14:ligatures w14:val="standardContextual"/>
            </w:rPr>
          </w:pPr>
          <w:hyperlink w:anchor="_Toc154779963" w:history="1">
            <w:r w:rsidRPr="00283AEC">
              <w:rPr>
                <w:rStyle w:val="Hipercze"/>
                <w:i w:val="0"/>
                <w:iCs w:val="0"/>
                <w:noProof/>
              </w:rPr>
              <w:t>Gwarancje realizacji obowiązków wprowadzonych ustawą o zapewnieniu</w:t>
            </w:r>
            <w:r w:rsidRPr="00283AEC">
              <w:rPr>
                <w:rStyle w:val="Hipercze"/>
                <w:i w:val="0"/>
                <w:iCs w:val="0"/>
                <w:noProof/>
              </w:rPr>
              <w:t xml:space="preserve"> </w:t>
            </w:r>
            <w:r w:rsidRPr="00283AEC">
              <w:rPr>
                <w:rStyle w:val="Hipercze"/>
                <w:i w:val="0"/>
                <w:iCs w:val="0"/>
                <w:noProof/>
              </w:rPr>
              <w:t>dostępności</w:t>
            </w:r>
            <w:r w:rsidRPr="00283AEC">
              <w:rPr>
                <w:i w:val="0"/>
                <w:iCs w:val="0"/>
                <w:noProof/>
                <w:webHidden/>
              </w:rPr>
              <w:tab/>
            </w:r>
            <w:r w:rsidRPr="00283AEC">
              <w:rPr>
                <w:i w:val="0"/>
                <w:iCs w:val="0"/>
                <w:noProof/>
                <w:webHidden/>
              </w:rPr>
              <w:fldChar w:fldCharType="begin"/>
            </w:r>
            <w:r w:rsidRPr="00283AEC">
              <w:rPr>
                <w:i w:val="0"/>
                <w:iCs w:val="0"/>
                <w:noProof/>
                <w:webHidden/>
              </w:rPr>
              <w:instrText xml:space="preserve"> PAGEREF _Toc154779963 \h </w:instrText>
            </w:r>
            <w:r w:rsidRPr="00283AEC">
              <w:rPr>
                <w:i w:val="0"/>
                <w:iCs w:val="0"/>
                <w:noProof/>
                <w:webHidden/>
              </w:rPr>
            </w:r>
            <w:r w:rsidRPr="00283AEC">
              <w:rPr>
                <w:i w:val="0"/>
                <w:iCs w:val="0"/>
                <w:noProof/>
                <w:webHidden/>
              </w:rPr>
              <w:fldChar w:fldCharType="separate"/>
            </w:r>
            <w:r w:rsidRPr="00283AEC">
              <w:rPr>
                <w:i w:val="0"/>
                <w:iCs w:val="0"/>
                <w:noProof/>
                <w:webHidden/>
              </w:rPr>
              <w:t>4</w:t>
            </w:r>
            <w:r w:rsidRPr="00283AEC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6DEF9E3" w14:textId="5072460A" w:rsidR="00283AEC" w:rsidRPr="00283AEC" w:rsidRDefault="00283AEC" w:rsidP="00283AEC">
          <w:pPr>
            <w:pStyle w:val="Spistreci1"/>
            <w:rPr>
              <w:rFonts w:eastAsiaTheme="minorEastAsia"/>
              <w:i w:val="0"/>
              <w:iCs w:val="0"/>
              <w:noProof/>
              <w:color w:val="auto"/>
              <w:kern w:val="2"/>
              <w:lang w:eastAsia="pl-PL" w:bidi="ar-SA"/>
              <w14:ligatures w14:val="standardContextual"/>
            </w:rPr>
          </w:pPr>
          <w:hyperlink w:anchor="_Toc154779964" w:history="1">
            <w:r w:rsidRPr="00283AEC">
              <w:rPr>
                <w:rStyle w:val="Hipercze"/>
                <w:i w:val="0"/>
                <w:iCs w:val="0"/>
                <w:noProof/>
              </w:rPr>
              <w:t>Podsumowanie</w:t>
            </w:r>
            <w:r w:rsidRPr="00283AEC">
              <w:rPr>
                <w:i w:val="0"/>
                <w:iCs w:val="0"/>
                <w:noProof/>
                <w:webHidden/>
              </w:rPr>
              <w:tab/>
            </w:r>
            <w:r w:rsidRPr="00283AEC">
              <w:rPr>
                <w:i w:val="0"/>
                <w:iCs w:val="0"/>
                <w:noProof/>
                <w:webHidden/>
              </w:rPr>
              <w:fldChar w:fldCharType="begin"/>
            </w:r>
            <w:r w:rsidRPr="00283AEC">
              <w:rPr>
                <w:i w:val="0"/>
                <w:iCs w:val="0"/>
                <w:noProof/>
                <w:webHidden/>
              </w:rPr>
              <w:instrText xml:space="preserve"> PAGEREF _Toc154779964 \h </w:instrText>
            </w:r>
            <w:r w:rsidRPr="00283AEC">
              <w:rPr>
                <w:i w:val="0"/>
                <w:iCs w:val="0"/>
                <w:noProof/>
                <w:webHidden/>
              </w:rPr>
            </w:r>
            <w:r w:rsidRPr="00283AEC">
              <w:rPr>
                <w:i w:val="0"/>
                <w:iCs w:val="0"/>
                <w:noProof/>
                <w:webHidden/>
              </w:rPr>
              <w:fldChar w:fldCharType="separate"/>
            </w:r>
            <w:r w:rsidRPr="00283AEC">
              <w:rPr>
                <w:i w:val="0"/>
                <w:iCs w:val="0"/>
                <w:noProof/>
                <w:webHidden/>
              </w:rPr>
              <w:t>7</w:t>
            </w:r>
            <w:r w:rsidRPr="00283AEC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C7DADF5" w14:textId="73254A29" w:rsidR="00AF3720" w:rsidRDefault="00AF3720" w:rsidP="00283AEC">
          <w:pPr>
            <w:spacing w:after="0"/>
          </w:pPr>
          <w:r w:rsidRPr="00283AEC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68FB68C2" w14:textId="43F9CD04" w:rsidR="00AF3720" w:rsidRDefault="00AF3720" w:rsidP="00283AEC">
      <w:pPr>
        <w:spacing w:after="0"/>
        <w:rPr>
          <w:rFonts w:asciiTheme="majorHAnsi" w:eastAsiaTheme="majorEastAsia" w:hAnsiTheme="majorHAnsi" w:cstheme="majorBidi"/>
          <w:b/>
          <w:caps/>
          <w:color w:val="2A2A2A" w:themeColor="text2"/>
          <w:sz w:val="56"/>
          <w:szCs w:val="56"/>
        </w:rPr>
      </w:pPr>
    </w:p>
    <w:p w14:paraId="3036D5A0" w14:textId="77777777" w:rsidR="008B27C2" w:rsidRDefault="008B27C2" w:rsidP="00283AEC">
      <w:pPr>
        <w:spacing w:after="0"/>
        <w:rPr>
          <w:rFonts w:asciiTheme="majorHAnsi" w:eastAsiaTheme="majorEastAsia" w:hAnsiTheme="majorHAnsi" w:cstheme="majorBidi"/>
          <w:b/>
          <w:caps/>
          <w:color w:val="2A2A2A" w:themeColor="text2"/>
          <w:sz w:val="56"/>
          <w:szCs w:val="56"/>
        </w:rPr>
      </w:pPr>
      <w:r>
        <w:rPr>
          <w:sz w:val="56"/>
          <w:szCs w:val="56"/>
        </w:rPr>
        <w:br w:type="page"/>
      </w:r>
    </w:p>
    <w:p w14:paraId="37D7373A" w14:textId="3D16D0FF" w:rsidR="00283AEC" w:rsidRPr="00283AEC" w:rsidRDefault="00283AEC" w:rsidP="00283AEC">
      <w:pPr>
        <w:pStyle w:val="Nagwek1"/>
        <w:spacing w:after="0"/>
        <w:rPr>
          <w:sz w:val="60"/>
          <w:szCs w:val="60"/>
        </w:rPr>
      </w:pPr>
      <w:bookmarkStart w:id="1" w:name="OLE_LINK1"/>
      <w:bookmarkStart w:id="2" w:name="OLE_LINK2"/>
      <w:bookmarkStart w:id="3" w:name="_Toc154779961"/>
      <w:bookmarkEnd w:id="0"/>
      <w:r w:rsidRPr="00283AEC">
        <w:rPr>
          <w:sz w:val="60"/>
          <w:szCs w:val="60"/>
        </w:rPr>
        <w:lastRenderedPageBreak/>
        <w:t>Wprowadzenie</w:t>
      </w:r>
      <w:bookmarkEnd w:id="3"/>
    </w:p>
    <w:p w14:paraId="120CBC90" w14:textId="5F4A1367" w:rsidR="009673E2" w:rsidRPr="009673E2" w:rsidRDefault="00442465" w:rsidP="00283AEC">
      <w:pPr>
        <w:spacing w:after="0"/>
      </w:pPr>
      <w:r>
        <w:t>Pomimo iż u</w:t>
      </w:r>
      <w:r w:rsidR="009673E2" w:rsidRPr="009673E2">
        <w:t>stawa</w:t>
      </w:r>
      <w:r w:rsidR="003F23BF">
        <w:rPr>
          <w:rStyle w:val="Odwoanieprzypisudolnego"/>
        </w:rPr>
        <w:footnoteReference w:id="1"/>
      </w:r>
      <w:r w:rsidR="009673E2" w:rsidRPr="009673E2">
        <w:t xml:space="preserve"> z 19 lipca 2019 roku dotycząca zapewnienia dostępności dla osób ze szczególnymi potrzebami</w:t>
      </w:r>
      <w:r w:rsidR="00640777">
        <w:t xml:space="preserve"> (zwan</w:t>
      </w:r>
      <w:r>
        <w:t xml:space="preserve">a </w:t>
      </w:r>
      <w:r w:rsidR="00640777">
        <w:t>dalej: „ustawą o zapewnieniu dostępności” lub „</w:t>
      </w:r>
      <w:proofErr w:type="spellStart"/>
      <w:r w:rsidR="00640777">
        <w:t>u.o.d</w:t>
      </w:r>
      <w:proofErr w:type="spellEnd"/>
      <w:r w:rsidR="00640777">
        <w:t>.”)</w:t>
      </w:r>
      <w:r>
        <w:t xml:space="preserve"> </w:t>
      </w:r>
      <w:r w:rsidR="009673E2" w:rsidRPr="009673E2">
        <w:t>miała</w:t>
      </w:r>
      <w:r w:rsidR="009D7ABF">
        <w:t xml:space="preserve"> stać</w:t>
      </w:r>
      <w:r w:rsidR="009673E2" w:rsidRPr="009673E2">
        <w:t xml:space="preserve"> się pierwszym w Polsce kompleksowym aktem prawnym obejmującym tematykę dostępności, </w:t>
      </w:r>
      <w:r>
        <w:t xml:space="preserve">w </w:t>
      </w:r>
      <w:r w:rsidR="009673E2" w:rsidRPr="009673E2">
        <w:t>pełni założonych celów</w:t>
      </w:r>
      <w:r>
        <w:t xml:space="preserve"> nie </w:t>
      </w:r>
      <w:r w:rsidR="001E03CC">
        <w:t>osiągnęła</w:t>
      </w:r>
      <w:r w:rsidR="009D7ABF">
        <w:rPr>
          <w:rStyle w:val="Odwoanieprzypisudolnego"/>
        </w:rPr>
        <w:footnoteReference w:id="2"/>
      </w:r>
      <w:r w:rsidR="009673E2" w:rsidRPr="009673E2">
        <w:t>. Oprócz niej, wprowadzono równolegle inne ustawy, w tym ustawę o dostępności cyfrowej</w:t>
      </w:r>
      <w:r w:rsidR="009E3A02">
        <w:t xml:space="preserve"> </w:t>
      </w:r>
      <w:r w:rsidR="009E3A02" w:rsidRPr="009E3A02">
        <w:t>s</w:t>
      </w:r>
      <w:r w:rsidR="009E3A02" w:rsidRPr="009E3A02">
        <w:t>tron internetowych i aplikacji mobilnych podmiotów publicznych</w:t>
      </w:r>
      <w:r w:rsidR="009E3A02">
        <w:t xml:space="preserve">. </w:t>
      </w:r>
      <w:r w:rsidR="009673E2" w:rsidRPr="009673E2">
        <w:t xml:space="preserve">Mimo pewnych zastrzeżeń, ustawa ta odegrała </w:t>
      </w:r>
      <w:r w:rsidR="009673E2">
        <w:t xml:space="preserve">jednak </w:t>
      </w:r>
      <w:r w:rsidR="009673E2" w:rsidRPr="009673E2">
        <w:t xml:space="preserve">znaczącą rolę w kształtowaniu krajowej debaty na temat dostępności. </w:t>
      </w:r>
    </w:p>
    <w:p w14:paraId="1400C7B5" w14:textId="77777777" w:rsidR="00283AEC" w:rsidRDefault="00283AEC" w:rsidP="00283AEC">
      <w:pPr>
        <w:pStyle w:val="Nagwek1"/>
        <w:spacing w:after="0"/>
        <w:rPr>
          <w:sz w:val="52"/>
          <w:szCs w:val="52"/>
        </w:rPr>
      </w:pPr>
    </w:p>
    <w:p w14:paraId="34C96A1D" w14:textId="72431EC8" w:rsidR="000C60EA" w:rsidRPr="000C60EA" w:rsidRDefault="009673E2" w:rsidP="00283AEC">
      <w:pPr>
        <w:pStyle w:val="Nagwek1"/>
        <w:spacing w:after="0"/>
        <w:rPr>
          <w:sz w:val="52"/>
          <w:szCs w:val="52"/>
        </w:rPr>
      </w:pPr>
      <w:bookmarkStart w:id="4" w:name="_Toc154779962"/>
      <w:r w:rsidRPr="009673E2">
        <w:rPr>
          <w:sz w:val="52"/>
          <w:szCs w:val="52"/>
        </w:rPr>
        <w:t>Charakter obowiązków wprowadzonych ustawą</w:t>
      </w:r>
      <w:bookmarkEnd w:id="4"/>
      <w:r w:rsidRPr="009673E2">
        <w:rPr>
          <w:sz w:val="52"/>
          <w:szCs w:val="52"/>
        </w:rPr>
        <w:t xml:space="preserve"> </w:t>
      </w:r>
      <w:bookmarkEnd w:id="1"/>
      <w:bookmarkEnd w:id="2"/>
    </w:p>
    <w:p w14:paraId="26322365" w14:textId="77777777" w:rsidR="00283AEC" w:rsidRDefault="00283AEC" w:rsidP="00283AEC">
      <w:pPr>
        <w:spacing w:after="0"/>
      </w:pPr>
    </w:p>
    <w:p w14:paraId="2765170F" w14:textId="7CFA378D" w:rsidR="00BD553F" w:rsidRDefault="000C60EA" w:rsidP="00283AEC">
      <w:pPr>
        <w:spacing w:after="0"/>
      </w:pPr>
      <w:r>
        <w:t xml:space="preserve">Zgodnie z art. 4 ust. 1 ustawy </w:t>
      </w:r>
      <w:r w:rsidR="00640777">
        <w:t>o</w:t>
      </w:r>
      <w:r>
        <w:t xml:space="preserve"> zapewnienia dostępności, </w:t>
      </w:r>
      <w:r w:rsidR="00640777" w:rsidRPr="00640777">
        <w:t>podmiot publiczny zapewnia dostępność osobom ze szczególnymi potrzebami poprzez stosowanie uniwersalnego projektowania lub racjonalnych usprawnień</w:t>
      </w:r>
      <w:r>
        <w:t xml:space="preserve">. </w:t>
      </w:r>
      <w:r w:rsidR="00640777" w:rsidRPr="00640777">
        <w:t xml:space="preserve">Zakres tego obowiązku </w:t>
      </w:r>
      <w:r w:rsidR="00640777">
        <w:t xml:space="preserve">wyznacza </w:t>
      </w:r>
      <w:r w:rsidR="00640777" w:rsidRPr="00640777">
        <w:t xml:space="preserve">art. </w:t>
      </w:r>
      <w:proofErr w:type="gramStart"/>
      <w:r w:rsidR="00640777" w:rsidRPr="00640777">
        <w:t xml:space="preserve">6 </w:t>
      </w:r>
      <w:r w:rsidR="00640777">
        <w:t xml:space="preserve"> </w:t>
      </w:r>
      <w:proofErr w:type="spellStart"/>
      <w:r w:rsidR="00640777">
        <w:t>u.o.d</w:t>
      </w:r>
      <w:proofErr w:type="spellEnd"/>
      <w:r w:rsidR="00640777">
        <w:t>.</w:t>
      </w:r>
      <w:proofErr w:type="gramEnd"/>
      <w:r w:rsidR="00640777">
        <w:t xml:space="preserve"> statuując tzw.</w:t>
      </w:r>
      <w:r w:rsidR="00640777" w:rsidRPr="00640777">
        <w:t xml:space="preserve"> minimalne wymagania służące zapewnieniu dostępności osobom ze szczególnymi potrzebami w zakresie dostępności architektonicznej, dostępności informacyjno-komunikacyjnej oraz dostępności cyfrowej, przy czym odn</w:t>
      </w:r>
      <w:r w:rsidR="00442465">
        <w:t>ośnie</w:t>
      </w:r>
      <w:r w:rsidR="00640777" w:rsidRPr="00640777">
        <w:t xml:space="preserve"> te</w:t>
      </w:r>
      <w:r w:rsidR="00BD553F">
        <w:t>j</w:t>
      </w:r>
      <w:r w:rsidR="00640777" w:rsidRPr="00640777">
        <w:t xml:space="preserve"> ostatni</w:t>
      </w:r>
      <w:r w:rsidR="00442465">
        <w:t>ej</w:t>
      </w:r>
      <w:r w:rsidR="00640777" w:rsidRPr="00640777">
        <w:t xml:space="preserve">, zakres  dookreślają postanowienia </w:t>
      </w:r>
      <w:r w:rsidR="00AB03F8">
        <w:t>wspomnianej</w:t>
      </w:r>
      <w:r w:rsidR="00BD553F">
        <w:t xml:space="preserve"> już ustawy </w:t>
      </w:r>
      <w:r w:rsidR="00640777" w:rsidRPr="00640777">
        <w:t>o dostępności cyfrowej.</w:t>
      </w:r>
      <w:r w:rsidR="00640777" w:rsidRPr="00F90E61">
        <w:rPr>
          <w:rFonts w:ascii="Times" w:hAnsi="Times" w:cs="Open Sans"/>
          <w:color w:val="000000" w:themeColor="text1"/>
        </w:rPr>
        <w:t xml:space="preserve">  </w:t>
      </w:r>
      <w:r>
        <w:t xml:space="preserve"> </w:t>
      </w:r>
    </w:p>
    <w:p w14:paraId="4BEC5982" w14:textId="162A4592" w:rsidR="000C60EA" w:rsidRDefault="00BD553F" w:rsidP="00283AEC">
      <w:pPr>
        <w:spacing w:after="0"/>
      </w:pPr>
      <w:r>
        <w:lastRenderedPageBreak/>
        <w:t xml:space="preserve">Zgodnie z art. 3 </w:t>
      </w:r>
      <w:proofErr w:type="spellStart"/>
      <w:r>
        <w:t>u.o.d</w:t>
      </w:r>
      <w:proofErr w:type="spellEnd"/>
      <w:r>
        <w:t xml:space="preserve">. </w:t>
      </w:r>
      <w:r w:rsidR="000C60EA">
        <w:t xml:space="preserve">zapewnienie dostępności jest obowiązkiem </w:t>
      </w:r>
      <w:r w:rsidR="001E03CC">
        <w:t xml:space="preserve">podmiotów </w:t>
      </w:r>
      <w:r w:rsidR="000C60EA">
        <w:t xml:space="preserve">publicznych wymienionych w tym artykule, co oznacza, że muszą one zagwarantować dostępność </w:t>
      </w:r>
      <w:r w:rsidR="00D2242F">
        <w:t xml:space="preserve">co najmniej na </w:t>
      </w:r>
      <w:r w:rsidR="000C60EA">
        <w:t>poziomie</w:t>
      </w:r>
      <w:r>
        <w:t xml:space="preserve"> minimalnym</w:t>
      </w:r>
      <w:r w:rsidR="000C60EA">
        <w:t xml:space="preserve"> określonym w art. 6. </w:t>
      </w:r>
      <w:r>
        <w:t>Z</w:t>
      </w:r>
      <w:r w:rsidR="000C60EA">
        <w:t xml:space="preserve">obowiązanie to dotyczy wyłącznie wymaganego </w:t>
      </w:r>
      <w:r w:rsidR="001E03CC">
        <w:t xml:space="preserve">minimalnego </w:t>
      </w:r>
      <w:r w:rsidR="000C60EA">
        <w:t xml:space="preserve">standardu dostępności, a nie konkretnych </w:t>
      </w:r>
      <w:r w:rsidR="00D2242F">
        <w:t>środków</w:t>
      </w:r>
      <w:r w:rsidR="000C60EA">
        <w:t xml:space="preserve"> jego </w:t>
      </w:r>
      <w:r w:rsidR="00AB03F8">
        <w:t>realizacji</w:t>
      </w:r>
      <w:r w:rsidR="00D2242F">
        <w:t xml:space="preserve">, stąd </w:t>
      </w:r>
      <w:r w:rsidR="000C60EA">
        <w:t>instytucje publiczne mają swobodę w projektowaniu swoich przestrzeni architektonicznych, informacyjno-komunikacyjnych i cyfrowych</w:t>
      </w:r>
      <w:r w:rsidR="00AC4271">
        <w:t xml:space="preserve"> tak długo, jak długo zapewniony jest wspomniany standard minimalny.</w:t>
      </w:r>
      <w:r w:rsidR="00D2242F">
        <w:t xml:space="preserve"> </w:t>
      </w:r>
      <w:r w:rsidR="00AB03F8">
        <w:t xml:space="preserve">Unikanie w teksie prawnym </w:t>
      </w:r>
      <w:r w:rsidR="00B1043C">
        <w:t>„</w:t>
      </w:r>
      <w:r w:rsidR="000C60EA">
        <w:t>biurokratycznych wymogów</w:t>
      </w:r>
      <w:r w:rsidR="00B1043C">
        <w:t xml:space="preserve">” </w:t>
      </w:r>
      <w:r w:rsidR="000C60EA">
        <w:t xml:space="preserve">na rzecz </w:t>
      </w:r>
      <w:r w:rsidR="00B1043C">
        <w:t>wyznaczenia standardu</w:t>
      </w:r>
      <w:r w:rsidR="00AB03F8">
        <w:t xml:space="preserve"> „</w:t>
      </w:r>
      <w:r w:rsidR="000C60EA">
        <w:t>zgodności w praktyce</w:t>
      </w:r>
      <w:r w:rsidR="00AB03F8">
        <w:t>” efektów wdrożenia środków i narzędzi zapewnienia dostępności</w:t>
      </w:r>
      <w:r w:rsidR="00AC4271">
        <w:t xml:space="preserve"> </w:t>
      </w:r>
      <w:r w:rsidR="000C60EA">
        <w:t>jest widoczn</w:t>
      </w:r>
      <w:r w:rsidR="00AC4271">
        <w:t xml:space="preserve">e nie tylko </w:t>
      </w:r>
      <w:r w:rsidR="001E03CC">
        <w:t xml:space="preserve">w </w:t>
      </w:r>
      <w:r w:rsidR="000C60EA">
        <w:t xml:space="preserve">ustawie </w:t>
      </w:r>
      <w:r w:rsidR="00AC4271">
        <w:t xml:space="preserve">o zapewnieniu dostępności, ale </w:t>
      </w:r>
      <w:r w:rsidR="000C60EA">
        <w:t xml:space="preserve">stanowi część szerszego trendu legislacyjnego, preferującego </w:t>
      </w:r>
      <w:r w:rsidR="00B1043C">
        <w:t>wyznaczanie jako przedmiotu obowiązków osiągnięcie określonego efektu, a nie samą realizację norm techniczno-prawnych wskazanych w ustawie. Innymi słowy, u</w:t>
      </w:r>
      <w:r w:rsidR="000C60EA">
        <w:t>stawodawca, zamiast szczegółowo regulować techniczne rozwiązania, postanowił dać instytucjom publicznym możliwość samodzielnego wyboru metod realizacji ustawowych celów, uwzględniając ich specyfikę</w:t>
      </w:r>
      <w:r w:rsidR="00B1043C">
        <w:t>, potrzeby, jak również</w:t>
      </w:r>
      <w:r w:rsidR="000C60EA">
        <w:t xml:space="preserve"> postęp technologiczny.</w:t>
      </w:r>
      <w:r w:rsidR="001668A8">
        <w:t xml:space="preserve"> </w:t>
      </w:r>
    </w:p>
    <w:p w14:paraId="6662AAE6" w14:textId="77777777" w:rsidR="00283AEC" w:rsidRDefault="00283AEC" w:rsidP="00283AEC">
      <w:pPr>
        <w:pStyle w:val="Nagwek1"/>
        <w:spacing w:after="0"/>
        <w:rPr>
          <w:sz w:val="52"/>
          <w:szCs w:val="52"/>
        </w:rPr>
      </w:pPr>
    </w:p>
    <w:p w14:paraId="42181257" w14:textId="238CAA01" w:rsidR="000C60EA" w:rsidRPr="000C60EA" w:rsidRDefault="000C60EA" w:rsidP="00283AEC">
      <w:pPr>
        <w:pStyle w:val="Nagwek1"/>
        <w:spacing w:after="0"/>
        <w:rPr>
          <w:sz w:val="52"/>
          <w:szCs w:val="52"/>
        </w:rPr>
      </w:pPr>
      <w:bookmarkStart w:id="5" w:name="_Toc154779963"/>
      <w:r w:rsidRPr="000C60EA">
        <w:rPr>
          <w:sz w:val="52"/>
          <w:szCs w:val="52"/>
        </w:rPr>
        <w:t>Gwarancje realizacji obowiązków wprowadzonych ustawą o zapewnieniu dostępności</w:t>
      </w:r>
      <w:bookmarkEnd w:id="5"/>
    </w:p>
    <w:p w14:paraId="4CD85DA0" w14:textId="77777777" w:rsidR="00283AEC" w:rsidRDefault="00283AEC" w:rsidP="00283AEC">
      <w:pPr>
        <w:spacing w:after="0"/>
      </w:pPr>
    </w:p>
    <w:p w14:paraId="67199076" w14:textId="368FFC8C" w:rsidR="000C60EA" w:rsidRDefault="00B1043C" w:rsidP="00283AEC">
      <w:pPr>
        <w:spacing w:after="0"/>
      </w:pPr>
      <w:r>
        <w:t xml:space="preserve">Z przyjętym modelem „zgodności w praktyce” </w:t>
      </w:r>
      <w:r w:rsidR="00AC4271">
        <w:t xml:space="preserve">oprócz szeregu zalet, </w:t>
      </w:r>
      <w:r>
        <w:t>wiąże się</w:t>
      </w:r>
      <w:r w:rsidR="00766400">
        <w:t xml:space="preserve"> jednak</w:t>
      </w:r>
      <w:r w:rsidR="000C60EA">
        <w:t xml:space="preserve"> </w:t>
      </w:r>
      <w:r w:rsidR="00766400">
        <w:t xml:space="preserve">pewne </w:t>
      </w:r>
      <w:r w:rsidR="000C60EA">
        <w:t>ryzyko</w:t>
      </w:r>
      <w:r w:rsidR="00766400">
        <w:t>, a to ryzko</w:t>
      </w:r>
      <w:r w:rsidR="000C60EA">
        <w:t xml:space="preserve"> różnic w ocenie</w:t>
      </w:r>
      <w:r>
        <w:t xml:space="preserve"> tego,</w:t>
      </w:r>
      <w:r w:rsidR="000C60EA">
        <w:t xml:space="preserve"> czy minimalne standardy zostały spełnione</w:t>
      </w:r>
      <w:r>
        <w:t>, a w ślad za tym -</w:t>
      </w:r>
      <w:r w:rsidR="000C60EA">
        <w:t xml:space="preserve"> czy ustawowe nakazy zostały zrealizowane.</w:t>
      </w:r>
      <w:r w:rsidR="00AC4271">
        <w:t xml:space="preserve"> </w:t>
      </w:r>
      <w:r w:rsidR="00766400">
        <w:t>Co więcej może zdarzyć się i tak</w:t>
      </w:r>
      <w:r w:rsidR="000C60EA">
        <w:t xml:space="preserve">, że niektóre instytucje publiczne w ogóle nie </w:t>
      </w:r>
      <w:proofErr w:type="gramStart"/>
      <w:r w:rsidR="000C60EA">
        <w:t>wypełni</w:t>
      </w:r>
      <w:r w:rsidR="001E03CC">
        <w:t xml:space="preserve">ą </w:t>
      </w:r>
      <w:r w:rsidR="000C60EA">
        <w:t xml:space="preserve"> </w:t>
      </w:r>
      <w:r w:rsidR="000C60EA">
        <w:lastRenderedPageBreak/>
        <w:t>nakazów</w:t>
      </w:r>
      <w:proofErr w:type="gramEnd"/>
      <w:r w:rsidR="00AC4271">
        <w:t xml:space="preserve"> </w:t>
      </w:r>
      <w:proofErr w:type="spellStart"/>
      <w:r w:rsidR="001E03CC">
        <w:t>u.o.d</w:t>
      </w:r>
      <w:proofErr w:type="spellEnd"/>
      <w:r w:rsidR="001E03CC">
        <w:t xml:space="preserve">. </w:t>
      </w:r>
      <w:r w:rsidR="00AC4271">
        <w:t>nie czując się nimi związane</w:t>
      </w:r>
      <w:r w:rsidR="00A15734">
        <w:t xml:space="preserve"> na skutek wadliwego określenia swojego statusu prawnego</w:t>
      </w:r>
      <w:r w:rsidR="000C60EA">
        <w:t>. W związku z tym</w:t>
      </w:r>
      <w:r w:rsidR="00AC4271">
        <w:t xml:space="preserve"> niezbędne stało się</w:t>
      </w:r>
      <w:r w:rsidR="000C60EA">
        <w:t xml:space="preserve"> opracowa</w:t>
      </w:r>
      <w:r w:rsidR="00AC4271">
        <w:t>nie</w:t>
      </w:r>
      <w:r w:rsidR="000C60EA">
        <w:t xml:space="preserve"> </w:t>
      </w:r>
      <w:r w:rsidR="00AC4271">
        <w:t xml:space="preserve">na poziomie ustawowym </w:t>
      </w:r>
      <w:r w:rsidR="000C60EA">
        <w:t>system</w:t>
      </w:r>
      <w:r w:rsidR="00AC4271">
        <w:t>u</w:t>
      </w:r>
      <w:r w:rsidR="000C60EA">
        <w:t xml:space="preserve"> gwarancji zapewniających realizację </w:t>
      </w:r>
      <w:r w:rsidR="00AC4271">
        <w:t xml:space="preserve">obowiązków </w:t>
      </w:r>
      <w:proofErr w:type="spellStart"/>
      <w:r w:rsidR="00AC4271">
        <w:t>dostępnościowych</w:t>
      </w:r>
      <w:proofErr w:type="spellEnd"/>
      <w:r w:rsidR="00AC4271">
        <w:t xml:space="preserve">. System ten obejmuje </w:t>
      </w:r>
      <w:r w:rsidR="000C60EA">
        <w:t xml:space="preserve">cztery </w:t>
      </w:r>
      <w:r w:rsidR="00AC4271">
        <w:t>elementy, a to:</w:t>
      </w:r>
    </w:p>
    <w:p w14:paraId="2E5C26D7" w14:textId="77777777" w:rsidR="00AC4271" w:rsidRPr="00AC4271" w:rsidRDefault="00AC4271" w:rsidP="00283AEC">
      <w:pPr>
        <w:pStyle w:val="Akapitzlist"/>
        <w:numPr>
          <w:ilvl w:val="0"/>
          <w:numId w:val="28"/>
        </w:numPr>
        <w:spacing w:after="0"/>
        <w:rPr>
          <w:i w:val="0"/>
          <w:iCs/>
          <w:lang w:eastAsia="pl-PL"/>
        </w:rPr>
      </w:pPr>
      <w:r w:rsidRPr="00AC4271">
        <w:rPr>
          <w:i w:val="0"/>
          <w:iCs/>
          <w:lang w:eastAsia="pl-PL"/>
        </w:rPr>
        <w:t>procedurę poinformowania o braku dostępności architektonicznej lub informacyjno-komunikacyjnej (art. 29);</w:t>
      </w:r>
    </w:p>
    <w:p w14:paraId="204AD049" w14:textId="77777777" w:rsidR="00AC4271" w:rsidRPr="00AC4271" w:rsidRDefault="00AC4271" w:rsidP="00283AEC">
      <w:pPr>
        <w:pStyle w:val="Akapitzlist"/>
        <w:numPr>
          <w:ilvl w:val="0"/>
          <w:numId w:val="28"/>
        </w:numPr>
        <w:spacing w:after="0"/>
        <w:rPr>
          <w:i w:val="0"/>
          <w:iCs/>
          <w:lang w:eastAsia="pl-PL"/>
        </w:rPr>
      </w:pPr>
      <w:r w:rsidRPr="00AC4271">
        <w:rPr>
          <w:i w:val="0"/>
          <w:iCs/>
          <w:lang w:eastAsia="pl-PL"/>
        </w:rPr>
        <w:t>postępowanie zainicjowane wnioskiem o zapewnienie dostępności architektonicznej lub informacyjno-komunikacyjnej (art. 30);</w:t>
      </w:r>
    </w:p>
    <w:p w14:paraId="7125539D" w14:textId="77777777" w:rsidR="00AC4271" w:rsidRPr="00AC4271" w:rsidRDefault="00AC4271" w:rsidP="00283AEC">
      <w:pPr>
        <w:pStyle w:val="Akapitzlist"/>
        <w:numPr>
          <w:ilvl w:val="0"/>
          <w:numId w:val="28"/>
        </w:numPr>
        <w:spacing w:after="0"/>
        <w:rPr>
          <w:i w:val="0"/>
          <w:iCs/>
          <w:lang w:eastAsia="pl-PL"/>
        </w:rPr>
      </w:pPr>
      <w:r w:rsidRPr="00AC4271">
        <w:rPr>
          <w:i w:val="0"/>
          <w:iCs/>
          <w:lang w:eastAsia="pl-PL"/>
        </w:rPr>
        <w:t>postępowanie przed Prezesem PFRON zainicjowane skargą na brak dostępności (art. 32);</w:t>
      </w:r>
    </w:p>
    <w:p w14:paraId="400598BC" w14:textId="77777777" w:rsidR="00AC4271" w:rsidRPr="00AC4271" w:rsidRDefault="00AC4271" w:rsidP="00283AEC">
      <w:pPr>
        <w:pStyle w:val="Akapitzlist"/>
        <w:numPr>
          <w:ilvl w:val="0"/>
          <w:numId w:val="28"/>
        </w:numPr>
        <w:spacing w:after="0"/>
        <w:rPr>
          <w:i w:val="0"/>
          <w:iCs/>
          <w:lang w:eastAsia="pl-PL"/>
        </w:rPr>
      </w:pPr>
      <w:r w:rsidRPr="00AC4271">
        <w:rPr>
          <w:i w:val="0"/>
          <w:iCs/>
          <w:lang w:eastAsia="pl-PL"/>
        </w:rPr>
        <w:t>postępowanie egzekucyjne (art. 34).</w:t>
      </w:r>
    </w:p>
    <w:p w14:paraId="381400FF" w14:textId="77777777" w:rsidR="00AA213E" w:rsidRDefault="00AA213E" w:rsidP="00283AEC">
      <w:pPr>
        <w:spacing w:after="0"/>
      </w:pPr>
    </w:p>
    <w:p w14:paraId="38C612B1" w14:textId="0DDB7B40" w:rsidR="000C60EA" w:rsidRDefault="00A15734" w:rsidP="00283AEC">
      <w:pPr>
        <w:spacing w:after="0"/>
      </w:pPr>
      <w:r>
        <w:t>W powyższym zestawieniu</w:t>
      </w:r>
      <w:r w:rsidR="001E03CC">
        <w:t xml:space="preserve"> zauważyć można brak</w:t>
      </w:r>
      <w:r>
        <w:t xml:space="preserve"> elementów </w:t>
      </w:r>
      <w:r w:rsidR="000C60EA">
        <w:t>bezpośredniej kontroli państwowej</w:t>
      </w:r>
      <w:r>
        <w:t>, a zatem przysło</w:t>
      </w:r>
      <w:r w:rsidR="001E03CC">
        <w:t>wiow</w:t>
      </w:r>
      <w:r>
        <w:t>ej kontroli</w:t>
      </w:r>
      <w:r w:rsidR="001E03CC">
        <w:t xml:space="preserve"> „</w:t>
      </w:r>
      <w:r>
        <w:t>urzęd</w:t>
      </w:r>
      <w:r w:rsidR="001E03CC">
        <w:t>nika</w:t>
      </w:r>
      <w:r w:rsidR="009A5BAD">
        <w:t xml:space="preserve"> </w:t>
      </w:r>
      <w:r w:rsidR="001E03CC">
        <w:t>z zaskoczenia</w:t>
      </w:r>
      <w:r>
        <w:t xml:space="preserve">”. W rzeczy samej, formy tej ustawodawca nie przewidział.  </w:t>
      </w:r>
      <w:r w:rsidR="000C60EA">
        <w:t>Oznacza to, że kontrola nad realizacją obowiązków ustawowych następuje wtórnie</w:t>
      </w:r>
      <w:r>
        <w:t>, a to zawsze w następ</w:t>
      </w:r>
      <w:r w:rsidR="00182E05">
        <w:t xml:space="preserve">stwie </w:t>
      </w:r>
      <w:r>
        <w:t>wystąpienia z inicjatywą jednost</w:t>
      </w:r>
      <w:r w:rsidR="00182E05">
        <w:t>ki</w:t>
      </w:r>
      <w:r>
        <w:t xml:space="preserve"> np. osob</w:t>
      </w:r>
      <w:r w:rsidR="009A5BAD">
        <w:t xml:space="preserve">y </w:t>
      </w:r>
      <w:r>
        <w:t xml:space="preserve">z niepełnosprawnością. </w:t>
      </w:r>
    </w:p>
    <w:p w14:paraId="21C7DCE1" w14:textId="77777777" w:rsidR="000C60EA" w:rsidRDefault="000C60EA" w:rsidP="00283AEC">
      <w:pPr>
        <w:spacing w:after="0"/>
      </w:pPr>
    </w:p>
    <w:p w14:paraId="0B716FA5" w14:textId="39F1327E" w:rsidR="000C60EA" w:rsidRPr="00A15734" w:rsidRDefault="00A15734" w:rsidP="00283AEC">
      <w:pPr>
        <w:spacing w:after="0"/>
        <w:rPr>
          <w:b/>
          <w:bCs/>
        </w:rPr>
      </w:pPr>
      <w:r w:rsidRPr="00A15734">
        <w:rPr>
          <w:b/>
          <w:bCs/>
        </w:rPr>
        <w:t xml:space="preserve">Ad. </w:t>
      </w:r>
      <w:r w:rsidR="00C15B15">
        <w:rPr>
          <w:b/>
          <w:bCs/>
        </w:rPr>
        <w:t>a</w:t>
      </w:r>
      <w:r w:rsidRPr="00A15734">
        <w:rPr>
          <w:b/>
          <w:bCs/>
        </w:rPr>
        <w:t xml:space="preserve">) </w:t>
      </w:r>
      <w:r w:rsidR="000C60EA" w:rsidRPr="00A15734">
        <w:rPr>
          <w:b/>
          <w:bCs/>
        </w:rPr>
        <w:t>Procedura informowania o braku dostępności</w:t>
      </w:r>
    </w:p>
    <w:p w14:paraId="6FA85BDB" w14:textId="4AE646B6" w:rsidR="00C15B15" w:rsidRPr="00C15B15" w:rsidRDefault="00A15734" w:rsidP="00283AEC">
      <w:pPr>
        <w:spacing w:after="0" w:line="360" w:lineRule="auto"/>
      </w:pPr>
      <w:r w:rsidRPr="00A15734">
        <w:t>Artykuł 29 stanowi, że każdy, bez konieczności wykazania interesu prawnego lub faktycznego, ma prawo poinformować podmiot publiczny o braku dostępności architektonicznej lub informacyjno-komunikacyjnej</w:t>
      </w:r>
      <w:r w:rsidR="00C15B15">
        <w:t xml:space="preserve">. </w:t>
      </w:r>
      <w:r w:rsidR="000C60EA">
        <w:t>Oświadczenia o braku dostępności mogą być złożone przez każdego i nie wymagają formalnego charakteru ani określonej treści.</w:t>
      </w:r>
      <w:r w:rsidR="00C15B15">
        <w:t xml:space="preserve"> </w:t>
      </w:r>
      <w:r w:rsidR="00C15B15" w:rsidRPr="00C15B15">
        <w:t>W uzasadnieniu projektu nowelizacji wyjaśniono, że instrument ten pełni funkcję ogólnospołeczną, poprawiając przepływ informacji i będąc jednocześnie narzędziem społecznej kontroli nad realizacją przepisów ustawy, choć nie jest elementem procesu skargowego</w:t>
      </w:r>
      <w:r w:rsidR="00C15B15">
        <w:t>.</w:t>
      </w:r>
    </w:p>
    <w:p w14:paraId="19D4C07F" w14:textId="28D8C7D0" w:rsidR="000C60EA" w:rsidRDefault="000C60EA" w:rsidP="00283AEC">
      <w:pPr>
        <w:spacing w:after="0"/>
      </w:pPr>
    </w:p>
    <w:p w14:paraId="11E97A6B" w14:textId="77777777" w:rsidR="000C60EA" w:rsidRDefault="000C60EA" w:rsidP="00283AEC">
      <w:pPr>
        <w:spacing w:after="0"/>
      </w:pPr>
    </w:p>
    <w:p w14:paraId="450A09C7" w14:textId="06FFE902" w:rsidR="000C60EA" w:rsidRPr="00C15B15" w:rsidRDefault="00C15B15" w:rsidP="00283AEC">
      <w:pPr>
        <w:spacing w:after="0"/>
        <w:rPr>
          <w:b/>
          <w:bCs/>
        </w:rPr>
      </w:pPr>
      <w:r>
        <w:rPr>
          <w:b/>
          <w:bCs/>
        </w:rPr>
        <w:t xml:space="preserve">Ad. b) </w:t>
      </w:r>
      <w:r w:rsidR="000C60EA" w:rsidRPr="00C15B15">
        <w:rPr>
          <w:b/>
          <w:bCs/>
        </w:rPr>
        <w:t>Postępowanie zainicjowane wnioskiem</w:t>
      </w:r>
    </w:p>
    <w:p w14:paraId="2D25E5E5" w14:textId="03381B55" w:rsidR="000C60EA" w:rsidRDefault="000C60EA" w:rsidP="00283AEC">
      <w:pPr>
        <w:spacing w:after="0"/>
      </w:pPr>
      <w:r>
        <w:lastRenderedPageBreak/>
        <w:t>Osoby ze szczególnymi potrzebami lub ich przedstawiciele ustawowi, po wykazaniu interesu faktycznego, mają prawo złożyć wniosek</w:t>
      </w:r>
      <w:r w:rsidR="009A5BAD">
        <w:t xml:space="preserve"> </w:t>
      </w:r>
      <w:r w:rsidR="009A5BAD" w:rsidRPr="00C15B15">
        <w:t>o zapewnienie dostępności architektonicznej lub informacyjno-komunikacyjnej</w:t>
      </w:r>
      <w:r w:rsidR="009A5BAD">
        <w:t>. Postępowanie zainicjowane tym wnioskiem</w:t>
      </w:r>
      <w:r w:rsidR="009A5BAD">
        <w:t xml:space="preserve"> nie kończy się wydaniem decyzji administracyjnej</w:t>
      </w:r>
      <w:r w:rsidR="009A5BAD">
        <w:t xml:space="preserve"> i </w:t>
      </w:r>
      <w:r w:rsidR="009A5BAD">
        <w:t>z wyjątkiem pewnych punktowych odesłań</w:t>
      </w:r>
      <w:r w:rsidR="009A5BAD">
        <w:t xml:space="preserve">, </w:t>
      </w:r>
      <w:r>
        <w:t xml:space="preserve">nie </w:t>
      </w:r>
      <w:r w:rsidR="00C15B15">
        <w:t>jest uregulowane przepisami</w:t>
      </w:r>
      <w:r>
        <w:t xml:space="preserve"> kodeksu postępowania administracyjnego</w:t>
      </w:r>
      <w:r w:rsidR="009A5BAD">
        <w:t>.</w:t>
      </w:r>
    </w:p>
    <w:p w14:paraId="21F14A6D" w14:textId="77777777" w:rsidR="000C60EA" w:rsidRDefault="000C60EA" w:rsidP="00283AEC">
      <w:pPr>
        <w:spacing w:after="0"/>
      </w:pPr>
    </w:p>
    <w:p w14:paraId="40C0EEF8" w14:textId="7D9B3EE8" w:rsidR="000C60EA" w:rsidRPr="00C15B15" w:rsidRDefault="00C15B15" w:rsidP="00283AEC">
      <w:pPr>
        <w:spacing w:after="0"/>
        <w:rPr>
          <w:b/>
          <w:bCs/>
        </w:rPr>
      </w:pPr>
      <w:r w:rsidRPr="00C15B15">
        <w:rPr>
          <w:b/>
          <w:bCs/>
        </w:rPr>
        <w:t xml:space="preserve">Ad. c) </w:t>
      </w:r>
      <w:r w:rsidR="000C60EA" w:rsidRPr="00C15B15">
        <w:rPr>
          <w:b/>
          <w:bCs/>
        </w:rPr>
        <w:t>Postępowanie przed Prezesem PFRON zainicjowane skargą</w:t>
      </w:r>
    </w:p>
    <w:p w14:paraId="6B369414" w14:textId="421D287D" w:rsidR="00963AA3" w:rsidRDefault="00C15B15" w:rsidP="00283AEC">
      <w:pPr>
        <w:spacing w:after="0"/>
      </w:pPr>
      <w:r w:rsidRPr="00C15B15">
        <w:t xml:space="preserve">Artykuł 32 ust. 1 </w:t>
      </w:r>
      <w:proofErr w:type="spellStart"/>
      <w:r w:rsidRPr="00C15B15">
        <w:t>u</w:t>
      </w:r>
      <w:r w:rsidR="00963AA3">
        <w:t>.o.d</w:t>
      </w:r>
      <w:proofErr w:type="spellEnd"/>
      <w:r w:rsidR="00963AA3">
        <w:t>.</w:t>
      </w:r>
      <w:r w:rsidRPr="00C15B15">
        <w:t xml:space="preserve"> </w:t>
      </w:r>
      <w:r w:rsidR="004043B5">
        <w:t>stanowi</w:t>
      </w:r>
      <w:r w:rsidRPr="00C15B15">
        <w:t>, że w przypadku, gdy podmiot publiczny do którego został skierowany wniosek, nie zapewnił wnioskodawcy dostępności na zasadach określonych w art. 31</w:t>
      </w:r>
      <w:r w:rsidR="00963AA3">
        <w:t xml:space="preserve"> ustawy</w:t>
      </w:r>
      <w:r w:rsidRPr="00C15B15">
        <w:t>,</w:t>
      </w:r>
      <w:r w:rsidR="00963AA3">
        <w:t xml:space="preserve"> to</w:t>
      </w:r>
      <w:r w:rsidRPr="00C15B15">
        <w:t xml:space="preserve"> wnioskodawcy służy prawo złożenia skargi na brak dostępności, która inicjuje postępowanie administracyjne jurysdykcyjne kończące się wydaniem decyzji administracyjnej.</w:t>
      </w:r>
      <w:r>
        <w:t xml:space="preserve"> </w:t>
      </w:r>
    </w:p>
    <w:p w14:paraId="792C5A77" w14:textId="77777777" w:rsidR="00AA213E" w:rsidRDefault="00AA213E" w:rsidP="00283AEC">
      <w:pPr>
        <w:spacing w:after="0"/>
      </w:pPr>
    </w:p>
    <w:p w14:paraId="5956114E" w14:textId="586A1820" w:rsidR="00AA213E" w:rsidRDefault="00963AA3" w:rsidP="00283AEC">
      <w:pPr>
        <w:spacing w:after="0"/>
      </w:pPr>
      <w:r>
        <w:t>Warto przy tym podkreślić, że p</w:t>
      </w:r>
      <w:r w:rsidR="000C60EA">
        <w:t xml:space="preserve">rezes PFRON może odmówić wszczęcia postępowania w określonych przypadkach, takich jak </w:t>
      </w:r>
      <w:r>
        <w:t xml:space="preserve">np. </w:t>
      </w:r>
      <w:r w:rsidR="000C60EA">
        <w:t xml:space="preserve">brak wcześniejszego złożenia wniosku o </w:t>
      </w:r>
      <w:r>
        <w:t xml:space="preserve">zapewnienie </w:t>
      </w:r>
      <w:r w:rsidR="000C60EA">
        <w:t>dostępnoś</w:t>
      </w:r>
      <w:r>
        <w:t xml:space="preserve">ci. </w:t>
      </w:r>
    </w:p>
    <w:p w14:paraId="794EA057" w14:textId="77777777" w:rsidR="00AA213E" w:rsidRDefault="00AA213E" w:rsidP="00283AEC">
      <w:pPr>
        <w:spacing w:after="0"/>
      </w:pPr>
    </w:p>
    <w:p w14:paraId="4354A81B" w14:textId="55E2CFE6" w:rsidR="000C60EA" w:rsidRDefault="000C60EA" w:rsidP="00283AEC">
      <w:pPr>
        <w:spacing w:after="0"/>
      </w:pPr>
      <w:r>
        <w:t xml:space="preserve">Stronami w takim postępowaniu są skarżący oraz instytucja publiczna. </w:t>
      </w:r>
      <w:r w:rsidR="00963AA3">
        <w:t xml:space="preserve">Postępowanie kończy się zazwyczaj </w:t>
      </w:r>
      <w:r w:rsidR="00963AA3" w:rsidRPr="00963AA3">
        <w:t xml:space="preserve">decyzją administracyjną </w:t>
      </w:r>
      <w:r w:rsidR="00963AA3">
        <w:t>nakazującą</w:t>
      </w:r>
      <w:r w:rsidR="00963AA3" w:rsidRPr="00963AA3">
        <w:t xml:space="preserve"> </w:t>
      </w:r>
      <w:r w:rsidR="00963AA3">
        <w:t xml:space="preserve">lub </w:t>
      </w:r>
      <w:r w:rsidR="00963AA3" w:rsidRPr="00963AA3">
        <w:t>odm</w:t>
      </w:r>
      <w:r w:rsidR="00963AA3">
        <w:t>awiającą</w:t>
      </w:r>
      <w:r w:rsidR="00963AA3" w:rsidRPr="00963AA3">
        <w:t xml:space="preserve"> nakazania podmiotowi publicznemu zapewnienia dostępności</w:t>
      </w:r>
      <w:r w:rsidR="00963AA3">
        <w:t>.</w:t>
      </w:r>
    </w:p>
    <w:p w14:paraId="0DF96BFE" w14:textId="77777777" w:rsidR="00AA213E" w:rsidRDefault="00AA213E" w:rsidP="00283AEC">
      <w:pPr>
        <w:spacing w:after="0"/>
      </w:pPr>
    </w:p>
    <w:p w14:paraId="0AF33287" w14:textId="7065D716" w:rsidR="00963AA3" w:rsidRDefault="00963AA3" w:rsidP="00283AEC">
      <w:pPr>
        <w:spacing w:after="0"/>
      </w:pPr>
      <w:r w:rsidRPr="00963AA3">
        <w:t>Postępowanie przed Prezesem Zarządu PFRON jest postępowaniem jednoinstancyjnym. Oznacza to, że stronom tego postępowania nie przysługuje ani odwołanie, ani wniosek o ponowne rozpatrzenie sprawy, natomiast podmioty legitymowane uprawnione są do wniesienia skargi do sądu administracyjnego.</w:t>
      </w:r>
    </w:p>
    <w:p w14:paraId="10AF77B4" w14:textId="77777777" w:rsidR="00283AEC" w:rsidRDefault="00283AEC" w:rsidP="00283AEC">
      <w:pPr>
        <w:spacing w:after="0"/>
        <w:rPr>
          <w:b/>
          <w:bCs/>
        </w:rPr>
      </w:pPr>
    </w:p>
    <w:p w14:paraId="21C1F584" w14:textId="6B5756F2" w:rsidR="000C60EA" w:rsidRPr="00963AA3" w:rsidRDefault="00963AA3" w:rsidP="00283AEC">
      <w:pPr>
        <w:spacing w:after="0"/>
        <w:rPr>
          <w:b/>
          <w:bCs/>
        </w:rPr>
      </w:pPr>
      <w:r w:rsidRPr="00963AA3">
        <w:rPr>
          <w:b/>
          <w:bCs/>
        </w:rPr>
        <w:t xml:space="preserve">Ad. d) </w:t>
      </w:r>
      <w:r w:rsidR="000C60EA" w:rsidRPr="00963AA3">
        <w:rPr>
          <w:b/>
          <w:bCs/>
        </w:rPr>
        <w:t>Postępowanie egzekucyjne</w:t>
      </w:r>
    </w:p>
    <w:p w14:paraId="436C5F42" w14:textId="34B0B2A3" w:rsidR="00DE4A7C" w:rsidRDefault="000C60EA" w:rsidP="00283AEC">
      <w:pPr>
        <w:spacing w:after="0"/>
      </w:pPr>
      <w:r>
        <w:t>W przypadku niewykonania nakazu wydanego przez Prezesa PFRON</w:t>
      </w:r>
      <w:r w:rsidR="00963AA3">
        <w:t xml:space="preserve"> (zob. lit c powyżej)</w:t>
      </w:r>
      <w:r>
        <w:t>, stosuje się przepisy o postępowaniu egzekucyjnym w administracji, w tym grzywny, mające na celu przyspieszenie działań instytucji publicznych.</w:t>
      </w:r>
      <w:r w:rsidR="00963AA3">
        <w:t xml:space="preserve"> </w:t>
      </w:r>
    </w:p>
    <w:p w14:paraId="0FFCABCB" w14:textId="77777777" w:rsidR="00283AEC" w:rsidRDefault="00283AEC" w:rsidP="00283AEC">
      <w:pPr>
        <w:spacing w:after="0"/>
      </w:pPr>
    </w:p>
    <w:p w14:paraId="267A189F" w14:textId="77BA62BA" w:rsidR="00963AA3" w:rsidRPr="00283AEC" w:rsidRDefault="00963AA3" w:rsidP="00283AEC">
      <w:pPr>
        <w:pStyle w:val="Nagwek1"/>
        <w:spacing w:after="0"/>
        <w:rPr>
          <w:sz w:val="60"/>
          <w:szCs w:val="60"/>
        </w:rPr>
      </w:pPr>
      <w:bookmarkStart w:id="6" w:name="_Toc154779964"/>
      <w:r w:rsidRPr="00283AEC">
        <w:rPr>
          <w:sz w:val="60"/>
          <w:szCs w:val="60"/>
        </w:rPr>
        <w:t>Podsumowanie</w:t>
      </w:r>
      <w:bookmarkEnd w:id="6"/>
    </w:p>
    <w:p w14:paraId="1C3BC672" w14:textId="77777777" w:rsidR="00AA213E" w:rsidRDefault="00AA213E" w:rsidP="00283AEC">
      <w:pPr>
        <w:spacing w:after="0"/>
      </w:pPr>
    </w:p>
    <w:p w14:paraId="3C3E8640" w14:textId="79C1D600" w:rsidR="00963AA3" w:rsidRPr="00963AA3" w:rsidRDefault="00963AA3" w:rsidP="00283AEC">
      <w:pPr>
        <w:spacing w:after="0"/>
      </w:pPr>
      <w:r w:rsidRPr="00F90E61">
        <w:t>Zastosowane instrumentarium opierające</w:t>
      </w:r>
      <w:r>
        <w:t>go</w:t>
      </w:r>
      <w:r w:rsidRPr="00F90E61">
        <w:t xml:space="preserve"> się na </w:t>
      </w:r>
      <w:r>
        <w:t xml:space="preserve">oddolnej inicjatywie obywateli, </w:t>
      </w:r>
      <w:r w:rsidRPr="00F90E61">
        <w:t>w miejsce zasady oficjalność</w:t>
      </w:r>
      <w:r>
        <w:t xml:space="preserve"> i działania przez państwo „z urzędu” </w:t>
      </w:r>
      <w:r w:rsidRPr="00F90E61">
        <w:t xml:space="preserve">nie sprzyja realizacji </w:t>
      </w:r>
      <w:r w:rsidR="00485F0A">
        <w:t>standardów u</w:t>
      </w:r>
      <w:r w:rsidRPr="00F90E61">
        <w:t xml:space="preserve">stawy </w:t>
      </w:r>
      <w:r w:rsidR="00485F0A">
        <w:t xml:space="preserve">o zapewnieniu dostępności </w:t>
      </w:r>
      <w:r w:rsidRPr="00F90E61">
        <w:t>przez podmioty publiczne</w:t>
      </w:r>
      <w:r w:rsidR="00485F0A">
        <w:t>. S</w:t>
      </w:r>
      <w:r>
        <w:t>kuteczność realizacji obowiązków ustawowych zależy</w:t>
      </w:r>
      <w:r w:rsidR="00485F0A">
        <w:t xml:space="preserve"> bowiem</w:t>
      </w:r>
      <w:r>
        <w:t xml:space="preserve"> od inicjatywy samych obywateli. </w:t>
      </w:r>
    </w:p>
    <w:p w14:paraId="1DE19337" w14:textId="77777777" w:rsidR="000C60EA" w:rsidRDefault="000C60EA" w:rsidP="00283AEC">
      <w:pPr>
        <w:spacing w:after="0"/>
      </w:pPr>
    </w:p>
    <w:sectPr w:rsidR="000C60EA" w:rsidSect="00FC7947"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FC45" w14:textId="77777777" w:rsidR="005A2897" w:rsidRDefault="005A2897">
      <w:pPr>
        <w:spacing w:after="0" w:line="240" w:lineRule="auto"/>
      </w:pPr>
      <w:r>
        <w:separator/>
      </w:r>
    </w:p>
  </w:endnote>
  <w:endnote w:type="continuationSeparator" w:id="0">
    <w:p w14:paraId="09DA5D5C" w14:textId="77777777" w:rsidR="005A2897" w:rsidRDefault="005A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35235" w14:textId="77777777" w:rsidR="009E4642" w:rsidRDefault="00816F0E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4EB9" w14:textId="5ED75EDE" w:rsidR="00D355AE" w:rsidRDefault="00D355AE">
    <w:pPr>
      <w:pStyle w:val="Stopka"/>
    </w:pPr>
    <w:r w:rsidRPr="00D355AE">
      <w:rPr>
        <w:noProof/>
      </w:rPr>
      <w:drawing>
        <wp:anchor distT="0" distB="0" distL="114300" distR="114300" simplePos="0" relativeHeight="251661312" behindDoc="0" locked="0" layoutInCell="1" allowOverlap="1" wp14:anchorId="21051E0C" wp14:editId="605DF6D6">
          <wp:simplePos x="0" y="0"/>
          <wp:positionH relativeFrom="column">
            <wp:posOffset>4227830</wp:posOffset>
          </wp:positionH>
          <wp:positionV relativeFrom="paragraph">
            <wp:posOffset>-44450</wp:posOffset>
          </wp:positionV>
          <wp:extent cx="2023110" cy="652145"/>
          <wp:effectExtent l="0" t="0" r="0" b="0"/>
          <wp:wrapNone/>
          <wp:docPr id="8" name="Obraz 3">
            <a:extLst xmlns:a="http://schemas.openxmlformats.org/drawingml/2006/main">
              <a:ext uri="{FF2B5EF4-FFF2-40B4-BE49-F238E27FC236}">
                <a16:creationId xmlns:a16="http://schemas.microsoft.com/office/drawing/2014/main" id="{B437C296-F9C8-A348-CF17-AAFE945040DA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>
                    <a:extLst>
                      <a:ext uri="{FF2B5EF4-FFF2-40B4-BE49-F238E27FC236}">
                        <a16:creationId xmlns:a16="http://schemas.microsoft.com/office/drawing/2014/main" id="{B437C296-F9C8-A348-CF17-AAFE945040DA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5AE">
      <w:rPr>
        <w:noProof/>
      </w:rPr>
      <w:drawing>
        <wp:anchor distT="0" distB="0" distL="114300" distR="114300" simplePos="0" relativeHeight="251660288" behindDoc="0" locked="0" layoutInCell="1" allowOverlap="1" wp14:anchorId="7941201B" wp14:editId="6D8D4A08">
          <wp:simplePos x="0" y="0"/>
          <wp:positionH relativeFrom="column">
            <wp:posOffset>1554480</wp:posOffset>
          </wp:positionH>
          <wp:positionV relativeFrom="paragraph">
            <wp:posOffset>-37465</wp:posOffset>
          </wp:positionV>
          <wp:extent cx="2221230" cy="652145"/>
          <wp:effectExtent l="0" t="0" r="0" b="0"/>
          <wp:wrapNone/>
          <wp:docPr id="5" name="Obraz 2">
            <a:extLst xmlns:a="http://schemas.openxmlformats.org/drawingml/2006/main">
              <a:ext uri="{FF2B5EF4-FFF2-40B4-BE49-F238E27FC236}">
                <a16:creationId xmlns:a16="http://schemas.microsoft.com/office/drawing/2014/main" id="{99BAED20-6842-B7DB-8E17-81F2C74AA230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>
                    <a:extLst>
                      <a:ext uri="{FF2B5EF4-FFF2-40B4-BE49-F238E27FC236}">
                        <a16:creationId xmlns:a16="http://schemas.microsoft.com/office/drawing/2014/main" id="{99BAED20-6842-B7DB-8E17-81F2C74AA230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5AE">
      <w:rPr>
        <w:noProof/>
      </w:rPr>
      <w:drawing>
        <wp:anchor distT="0" distB="0" distL="114300" distR="114300" simplePos="0" relativeHeight="251659264" behindDoc="0" locked="0" layoutInCell="1" allowOverlap="1" wp14:anchorId="329628A6" wp14:editId="2263E678">
          <wp:simplePos x="0" y="0"/>
          <wp:positionH relativeFrom="column">
            <wp:posOffset>-989584</wp:posOffset>
          </wp:positionH>
          <wp:positionV relativeFrom="paragraph">
            <wp:posOffset>-44259</wp:posOffset>
          </wp:positionV>
          <wp:extent cx="1748162" cy="652229"/>
          <wp:effectExtent l="0" t="0" r="0" b="0"/>
          <wp:wrapNone/>
          <wp:docPr id="4" name="Obraz 1">
            <a:extLst xmlns:a="http://schemas.openxmlformats.org/drawingml/2006/main">
              <a:ext uri="{FF2B5EF4-FFF2-40B4-BE49-F238E27FC236}">
                <a16:creationId xmlns:a16="http://schemas.microsoft.com/office/drawing/2014/main" id="{58FF6316-21DA-6864-73CE-50B30247D9A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>
                    <a:extLst>
                      <a:ext uri="{FF2B5EF4-FFF2-40B4-BE49-F238E27FC236}">
                        <a16:creationId xmlns:a16="http://schemas.microsoft.com/office/drawing/2014/main" id="{58FF6316-21DA-6864-73CE-50B30247D9A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62" cy="652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7328" w14:textId="77777777" w:rsidR="005A2897" w:rsidRDefault="005A2897">
      <w:pPr>
        <w:spacing w:after="0" w:line="240" w:lineRule="auto"/>
      </w:pPr>
      <w:r>
        <w:separator/>
      </w:r>
    </w:p>
  </w:footnote>
  <w:footnote w:type="continuationSeparator" w:id="0">
    <w:p w14:paraId="6C36CB08" w14:textId="77777777" w:rsidR="005A2897" w:rsidRDefault="005A2897">
      <w:pPr>
        <w:spacing w:after="0" w:line="240" w:lineRule="auto"/>
      </w:pPr>
      <w:r>
        <w:continuationSeparator/>
      </w:r>
    </w:p>
  </w:footnote>
  <w:footnote w:id="1">
    <w:p w14:paraId="76D3DE61" w14:textId="3FEDE255" w:rsidR="003F23BF" w:rsidRDefault="003F23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Niniejsze opracowanie popularno-naukowe odnosi się m.in. do wyników badań oblikowanych w tekście: A. Cebera, </w:t>
      </w:r>
      <w:r w:rsidRPr="00D2242F">
        <w:t>POSTĘPOWANIE SKARGOWE W ZWIĄZKU Z BRAKIEM ZAPEWNIENIA DOSTĘPNOŚCI OSOBOM ZE SZCZEGÓLNYMI POTRZEBAMI</w:t>
      </w:r>
      <w:r>
        <w:t xml:space="preserve">, </w:t>
      </w:r>
      <w:r w:rsidRPr="00D2242F">
        <w:t xml:space="preserve">Acta </w:t>
      </w:r>
      <w:proofErr w:type="spellStart"/>
      <w:r w:rsidRPr="00D2242F">
        <w:t>Universitatis</w:t>
      </w:r>
      <w:proofErr w:type="spellEnd"/>
      <w:r w:rsidRPr="00D2242F">
        <w:t xml:space="preserve"> </w:t>
      </w:r>
      <w:proofErr w:type="spellStart"/>
      <w:r w:rsidRPr="00D2242F">
        <w:t>Lodziensis</w:t>
      </w:r>
      <w:proofErr w:type="spellEnd"/>
      <w:r w:rsidRPr="00D2242F">
        <w:t xml:space="preserve"> Folia </w:t>
      </w:r>
      <w:proofErr w:type="spellStart"/>
      <w:r w:rsidRPr="00D2242F">
        <w:t>Iuridica</w:t>
      </w:r>
      <w:proofErr w:type="spellEnd"/>
      <w:r>
        <w:t xml:space="preserve"> 2023, numer specjalny. Niniejsze opracowanie uwzględnia również zagadnienia dodatkowe wynikające ze specyfiki zadań projektowych.</w:t>
      </w:r>
    </w:p>
  </w:footnote>
  <w:footnote w:id="2">
    <w:p w14:paraId="526421F4" w14:textId="77777777" w:rsidR="009D7ABF" w:rsidRPr="009D7ABF" w:rsidRDefault="009D7ABF" w:rsidP="009D7A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7ABF">
        <w:t xml:space="preserve">K. </w:t>
      </w:r>
      <w:proofErr w:type="spellStart"/>
      <w:proofErr w:type="gramStart"/>
      <w:r w:rsidRPr="009D7ABF">
        <w:t>Roszewska</w:t>
      </w:r>
      <w:proofErr w:type="spellEnd"/>
      <w:r w:rsidRPr="009D7ABF">
        <w:t xml:space="preserve">,  </w:t>
      </w:r>
      <w:r w:rsidRPr="009D7ABF">
        <w:rPr>
          <w:i/>
          <w:iCs/>
        </w:rPr>
        <w:t>Komentarz</w:t>
      </w:r>
      <w:proofErr w:type="gramEnd"/>
      <w:r w:rsidRPr="009D7ABF">
        <w:rPr>
          <w:i/>
          <w:iCs/>
        </w:rPr>
        <w:t xml:space="preserve"> do art. 1,</w:t>
      </w:r>
      <w:r w:rsidRPr="009D7ABF">
        <w:t xml:space="preserve"> w: </w:t>
      </w:r>
      <w:r w:rsidRPr="009D7ABF">
        <w:rPr>
          <w:i/>
          <w:iCs/>
        </w:rPr>
        <w:t>Ustawa o zapewnianiu dostępności osobom ze szczególnymi potrzebami</w:t>
      </w:r>
      <w:r w:rsidRPr="009D7ABF">
        <w:t xml:space="preserve">, red. Katarzyna </w:t>
      </w:r>
      <w:proofErr w:type="spellStart"/>
      <w:r w:rsidRPr="009D7ABF">
        <w:t>Roszewska</w:t>
      </w:r>
      <w:proofErr w:type="spellEnd"/>
      <w:r w:rsidRPr="009D7ABF">
        <w:t>. Lex/el 2021.: Wolters Kluwer Polska, nb. 2.</w:t>
      </w:r>
    </w:p>
    <w:p w14:paraId="3CCF2FE3" w14:textId="667781B4" w:rsidR="009D7ABF" w:rsidRDefault="009D7A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F3F0" w14:textId="2E309A0D" w:rsidR="00D355AE" w:rsidRDefault="008C1765" w:rsidP="00284055">
    <w:pPr>
      <w:pStyle w:val="Nagwek"/>
      <w:jc w:val="center"/>
    </w:pPr>
    <w:r w:rsidRPr="008C1765">
      <w:rPr>
        <w:noProof/>
      </w:rPr>
      <w:drawing>
        <wp:inline distT="0" distB="0" distL="0" distR="0" wp14:anchorId="3C4572F4" wp14:editId="1F551BEF">
          <wp:extent cx="5093091" cy="1242770"/>
          <wp:effectExtent l="0" t="0" r="0" b="1905"/>
          <wp:docPr id="2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873" cy="1261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3734A0"/>
    <w:multiLevelType w:val="hybridMultilevel"/>
    <w:tmpl w:val="28D25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072BB"/>
    <w:multiLevelType w:val="hybridMultilevel"/>
    <w:tmpl w:val="6CDA4470"/>
    <w:lvl w:ilvl="0" w:tplc="F1303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2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09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2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60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42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04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42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CF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D929CA"/>
    <w:multiLevelType w:val="hybridMultilevel"/>
    <w:tmpl w:val="13C27836"/>
    <w:lvl w:ilvl="0" w:tplc="0DCEFE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04354"/>
    <w:multiLevelType w:val="hybridMultilevel"/>
    <w:tmpl w:val="3794B618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3BC3"/>
    <w:multiLevelType w:val="hybridMultilevel"/>
    <w:tmpl w:val="FB6AD80A"/>
    <w:lvl w:ilvl="0" w:tplc="7EEE0B26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45D24"/>
    <w:multiLevelType w:val="hybridMultilevel"/>
    <w:tmpl w:val="E8E8C548"/>
    <w:lvl w:ilvl="0" w:tplc="E034C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2B4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4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C7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A8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0E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EA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C4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EB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874534A"/>
    <w:multiLevelType w:val="hybridMultilevel"/>
    <w:tmpl w:val="0CA2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34274"/>
    <w:multiLevelType w:val="hybridMultilevel"/>
    <w:tmpl w:val="28DC00DE"/>
    <w:lvl w:ilvl="0" w:tplc="08B453DE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889846">
    <w:abstractNumId w:val="9"/>
  </w:num>
  <w:num w:numId="2" w16cid:durableId="841968185">
    <w:abstractNumId w:val="14"/>
  </w:num>
  <w:num w:numId="3" w16cid:durableId="1541821109">
    <w:abstractNumId w:val="14"/>
  </w:num>
  <w:num w:numId="4" w16cid:durableId="345835766">
    <w:abstractNumId w:val="14"/>
  </w:num>
  <w:num w:numId="5" w16cid:durableId="1497719792">
    <w:abstractNumId w:val="14"/>
  </w:num>
  <w:num w:numId="6" w16cid:durableId="1723867202">
    <w:abstractNumId w:val="8"/>
  </w:num>
  <w:num w:numId="7" w16cid:durableId="770393810">
    <w:abstractNumId w:val="18"/>
  </w:num>
  <w:num w:numId="8" w16cid:durableId="414329182">
    <w:abstractNumId w:val="7"/>
  </w:num>
  <w:num w:numId="9" w16cid:durableId="1422599415">
    <w:abstractNumId w:val="6"/>
  </w:num>
  <w:num w:numId="10" w16cid:durableId="1017000651">
    <w:abstractNumId w:val="5"/>
  </w:num>
  <w:num w:numId="11" w16cid:durableId="313339129">
    <w:abstractNumId w:val="4"/>
  </w:num>
  <w:num w:numId="12" w16cid:durableId="2122454483">
    <w:abstractNumId w:val="3"/>
  </w:num>
  <w:num w:numId="13" w16cid:durableId="468980742">
    <w:abstractNumId w:val="2"/>
  </w:num>
  <w:num w:numId="14" w16cid:durableId="159469307">
    <w:abstractNumId w:val="1"/>
  </w:num>
  <w:num w:numId="15" w16cid:durableId="703167829">
    <w:abstractNumId w:val="0"/>
  </w:num>
  <w:num w:numId="16" w16cid:durableId="889344446">
    <w:abstractNumId w:val="15"/>
  </w:num>
  <w:num w:numId="17" w16cid:durableId="834222573">
    <w:abstractNumId w:val="18"/>
  </w:num>
  <w:num w:numId="18" w16cid:durableId="726685999">
    <w:abstractNumId w:val="13"/>
  </w:num>
  <w:num w:numId="19" w16cid:durableId="276644214">
    <w:abstractNumId w:val="17"/>
  </w:num>
  <w:num w:numId="20" w16cid:durableId="2145460907">
    <w:abstractNumId w:val="18"/>
  </w:num>
  <w:num w:numId="21" w16cid:durableId="597758269">
    <w:abstractNumId w:val="18"/>
  </w:num>
  <w:num w:numId="22" w16cid:durableId="1857041394">
    <w:abstractNumId w:val="18"/>
  </w:num>
  <w:num w:numId="23" w16cid:durableId="1082871393">
    <w:abstractNumId w:val="18"/>
  </w:num>
  <w:num w:numId="24" w16cid:durableId="2014648638">
    <w:abstractNumId w:val="18"/>
  </w:num>
  <w:num w:numId="25" w16cid:durableId="17199636">
    <w:abstractNumId w:val="16"/>
  </w:num>
  <w:num w:numId="26" w16cid:durableId="471097370">
    <w:abstractNumId w:val="11"/>
  </w:num>
  <w:num w:numId="27" w16cid:durableId="1827941741">
    <w:abstractNumId w:val="12"/>
  </w:num>
  <w:num w:numId="28" w16cid:durableId="16753740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F"/>
    <w:rsid w:val="000834BA"/>
    <w:rsid w:val="00094595"/>
    <w:rsid w:val="000A6A69"/>
    <w:rsid w:val="000B4BB8"/>
    <w:rsid w:val="000C235F"/>
    <w:rsid w:val="000C60EA"/>
    <w:rsid w:val="000E35E6"/>
    <w:rsid w:val="001157CF"/>
    <w:rsid w:val="001668A8"/>
    <w:rsid w:val="00172FC9"/>
    <w:rsid w:val="00182E05"/>
    <w:rsid w:val="001979D7"/>
    <w:rsid w:val="001A3B9A"/>
    <w:rsid w:val="001E03CC"/>
    <w:rsid w:val="002129F2"/>
    <w:rsid w:val="00283AEC"/>
    <w:rsid w:val="00284055"/>
    <w:rsid w:val="002D47F0"/>
    <w:rsid w:val="00313D15"/>
    <w:rsid w:val="003D56B7"/>
    <w:rsid w:val="003F157D"/>
    <w:rsid w:val="003F23BF"/>
    <w:rsid w:val="004043B5"/>
    <w:rsid w:val="00440C7E"/>
    <w:rsid w:val="00442465"/>
    <w:rsid w:val="00485F0A"/>
    <w:rsid w:val="004C7724"/>
    <w:rsid w:val="004D64AB"/>
    <w:rsid w:val="00513676"/>
    <w:rsid w:val="00542D75"/>
    <w:rsid w:val="00577B7F"/>
    <w:rsid w:val="00584B01"/>
    <w:rsid w:val="005A2897"/>
    <w:rsid w:val="00640777"/>
    <w:rsid w:val="006A46BF"/>
    <w:rsid w:val="006C133E"/>
    <w:rsid w:val="007037E6"/>
    <w:rsid w:val="007403D0"/>
    <w:rsid w:val="0076495D"/>
    <w:rsid w:val="00766400"/>
    <w:rsid w:val="0077563F"/>
    <w:rsid w:val="0081596C"/>
    <w:rsid w:val="00816F0E"/>
    <w:rsid w:val="0082074F"/>
    <w:rsid w:val="008B27C2"/>
    <w:rsid w:val="008C1765"/>
    <w:rsid w:val="008C1B24"/>
    <w:rsid w:val="008C2C4F"/>
    <w:rsid w:val="00932EF4"/>
    <w:rsid w:val="00956B77"/>
    <w:rsid w:val="00961273"/>
    <w:rsid w:val="00963AA3"/>
    <w:rsid w:val="009673E2"/>
    <w:rsid w:val="00976199"/>
    <w:rsid w:val="009A208B"/>
    <w:rsid w:val="009A5BAD"/>
    <w:rsid w:val="009D47CA"/>
    <w:rsid w:val="009D7ABF"/>
    <w:rsid w:val="009E3A02"/>
    <w:rsid w:val="009E4642"/>
    <w:rsid w:val="009F159B"/>
    <w:rsid w:val="00A15734"/>
    <w:rsid w:val="00A53779"/>
    <w:rsid w:val="00AA213E"/>
    <w:rsid w:val="00AB03F8"/>
    <w:rsid w:val="00AC4271"/>
    <w:rsid w:val="00AE233F"/>
    <w:rsid w:val="00AF3720"/>
    <w:rsid w:val="00B1043C"/>
    <w:rsid w:val="00B40979"/>
    <w:rsid w:val="00B42DD6"/>
    <w:rsid w:val="00B832D7"/>
    <w:rsid w:val="00BD553F"/>
    <w:rsid w:val="00C15B15"/>
    <w:rsid w:val="00D13AD7"/>
    <w:rsid w:val="00D2242F"/>
    <w:rsid w:val="00D355AE"/>
    <w:rsid w:val="00D86129"/>
    <w:rsid w:val="00DB3119"/>
    <w:rsid w:val="00DE33B7"/>
    <w:rsid w:val="00DE4A7C"/>
    <w:rsid w:val="00DE5E78"/>
    <w:rsid w:val="00E85059"/>
    <w:rsid w:val="00E9361F"/>
    <w:rsid w:val="00E94551"/>
    <w:rsid w:val="00FC7947"/>
    <w:rsid w:val="00FD5C20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C4240"/>
  <w15:chartTrackingRefBased/>
  <w15:docId w15:val="{C9E8D8CF-DA64-C542-AC8A-FE9D86A4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pl-PL" w:eastAsia="ja-JP" w:bidi="pl-PL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F0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punktowana">
    <w:name w:val="List Bullet"/>
    <w:basedOn w:val="Normalny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next w:val="Normalny"/>
    <w:link w:val="CytatZnak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ytatZnak">
    <w:name w:val="Cytat Znak"/>
    <w:basedOn w:val="Domylnaczcionkaakapitu"/>
    <w:link w:val="Cytat"/>
    <w:uiPriority w:val="10"/>
    <w:rPr>
      <w:b/>
      <w:iCs/>
      <w:color w:val="F75952" w:themeColor="accent1"/>
      <w:sz w:val="54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Uwydatnienie">
    <w:name w:val="Emphasis"/>
    <w:basedOn w:val="Domylnaczcionkaakapitu"/>
    <w:uiPriority w:val="20"/>
    <w:qFormat/>
    <w:rPr>
      <w:b w:val="0"/>
      <w:i w:val="0"/>
      <w:iCs/>
      <w:color w:val="F7595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color w:val="F75952" w:themeColor="accent1"/>
      <w:sz w:val="54"/>
    </w:rPr>
  </w:style>
  <w:style w:type="paragraph" w:styleId="Akapitzlist">
    <w:name w:val="List Paragraph"/>
    <w:basedOn w:val="Normalny"/>
    <w:uiPriority w:val="34"/>
    <w:unhideWhenUsed/>
    <w:qFormat/>
    <w:pPr>
      <w:contextualSpacing/>
    </w:pPr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qFormat/>
    <w:pPr>
      <w:spacing w:after="1320"/>
      <w:outlineLvl w:val="9"/>
    </w:pPr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StopkaZnak">
    <w:name w:val="Stopka Znak"/>
    <w:basedOn w:val="Domylnaczcionkaakapitu"/>
    <w:link w:val="Stopka"/>
    <w:uiPriority w:val="99"/>
    <w:rPr>
      <w:b/>
      <w:color w:val="F75952" w:themeColor="accent1"/>
      <w:sz w:val="38"/>
      <w:szCs w:val="3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Pogrubienie">
    <w:name w:val="Strong"/>
    <w:basedOn w:val="Domylnaczcionkaakapitu"/>
    <w:uiPriority w:val="8"/>
    <w:semiHidden/>
    <w:unhideWhenUsed/>
    <w:qFormat/>
    <w:rPr>
      <w:b/>
      <w:bCs/>
      <w:color w:val="3E3E3E" w:themeColor="text2" w:themeTint="E6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5F5F5F" w:themeColor="text2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ytu">
    <w:name w:val="Title"/>
    <w:basedOn w:val="Normalny"/>
    <w:next w:val="Podtytu"/>
    <w:link w:val="TytuZnak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Podtytu">
    <w:name w:val="Subtitle"/>
    <w:basedOn w:val="Normalny"/>
    <w:next w:val="Autor"/>
    <w:link w:val="PodtytuZnak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PodtytuZnak">
    <w:name w:val="Podtytuł Znak"/>
    <w:basedOn w:val="Domylnaczcionkaakapitu"/>
    <w:link w:val="Podtytu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83AEC"/>
    <w:pPr>
      <w:tabs>
        <w:tab w:val="right" w:leader="dot" w:pos="8297"/>
      </w:tabs>
      <w:spacing w:before="120" w:after="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39"/>
    <w:unhideWhenUsed/>
    <w:qFormat/>
    <w:pPr>
      <w:spacing w:before="120" w:after="0"/>
      <w:ind w:left="240"/>
    </w:pPr>
    <w:rPr>
      <w:b/>
      <w:bCs/>
      <w:sz w:val="22"/>
      <w:szCs w:val="22"/>
    </w:rPr>
  </w:style>
  <w:style w:type="table" w:customStyle="1" w:styleId="Generaltable">
    <w:name w:val="General table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ny"/>
    <w:uiPriority w:val="3"/>
    <w:qFormat/>
    <w:pPr>
      <w:spacing w:after="0"/>
    </w:pPr>
    <w:rPr>
      <w:b/>
      <w:color w:val="2A2A2A" w:themeColor="text2"/>
      <w:sz w:val="30"/>
    </w:r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Listanumerowana">
    <w:name w:val="List Number"/>
    <w:basedOn w:val="Normalny"/>
    <w:uiPriority w:val="13"/>
    <w:qFormat/>
    <w:pPr>
      <w:numPr>
        <w:numId w:val="16"/>
      </w:numPr>
    </w:pPr>
    <w:rPr>
      <w:i/>
    </w:rPr>
  </w:style>
  <w:style w:type="character" w:styleId="Hipercze">
    <w:name w:val="Hyperlink"/>
    <w:basedOn w:val="Domylnaczcionkaakapitu"/>
    <w:uiPriority w:val="99"/>
    <w:unhideWhenUsed/>
    <w:rsid w:val="00B832D7"/>
    <w:rPr>
      <w:color w:val="B67A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2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B4BB8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F3720"/>
    <w:pPr>
      <w:spacing w:after="0"/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F3720"/>
    <w:pPr>
      <w:spacing w:after="0"/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F3720"/>
    <w:pPr>
      <w:spacing w:after="0"/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F3720"/>
    <w:pPr>
      <w:spacing w:after="0"/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F3720"/>
    <w:pPr>
      <w:spacing w:after="0"/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F3720"/>
    <w:pPr>
      <w:spacing w:after="0"/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F3720"/>
    <w:pPr>
      <w:spacing w:after="0"/>
      <w:ind w:left="1920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A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A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088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67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372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inkocor/Library/Containers/com.microsoft.Word/Data/Library/Application%20Support/Microsoft/Office/16.0/DTS/pl-PL%7b4C51B2CD-5B09-9F4B-A8E4-310880A8EEE5%7d/%7bEE408DD1-7BDC-DA4A-ABAB-303611473472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F262BC0-24BC-3143-B96F-C1561F694A32}">
  <we:reference id="wa104379997" version="1.0.0.1" store="pl-PL" storeType="OMEX"/>
  <we:alternateReferences>
    <we:reference id="wa104379997" version="1.0.0.1" store="wa104379997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69B144F8-67AF-8C42-83AA-19F5929F11CE}">
  <we:reference id="wa104178141" version="4.3.3.0" store="pl-PL" storeType="OMEX"/>
  <we:alternateReferences>
    <we:reference id="WA104178141" version="4.3.3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Props1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083F78-D6DD-40BF-8378-BF9DFDAC29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{EE408DD1-7BDC-DA4A-ABAB-303611473472}tf10002071.dotx</Template>
  <TotalTime>148</TotalTime>
  <Pages>7</Pages>
  <Words>1034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Kocór</dc:creator>
  <cp:keywords/>
  <dc:description/>
  <cp:lastModifiedBy>Agata Cebera</cp:lastModifiedBy>
  <cp:revision>27</cp:revision>
  <dcterms:created xsi:type="dcterms:W3CDTF">2023-12-22T16:52:00Z</dcterms:created>
  <dcterms:modified xsi:type="dcterms:W3CDTF">2023-12-29T21:10:00Z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0x010100012E2E405031D74DB051ADDB3D34E572</vt:lpwstr>
  </property>
</Properties>
</file>