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F002" w14:textId="6FBB07FC" w:rsidR="00AE0B9F" w:rsidRPr="00AE0B9F" w:rsidRDefault="00C27B43" w:rsidP="00AE0B9F">
      <w:pPr>
        <w:pStyle w:val="Tytu"/>
        <w:ind w:right="-57"/>
        <w:rPr>
          <w:sz w:val="56"/>
        </w:rPr>
      </w:pPr>
      <w:r>
        <w:rPr>
          <w:sz w:val="56"/>
        </w:rPr>
        <w:t xml:space="preserve">Przymusowa </w:t>
      </w:r>
      <w:r w:rsidR="00D646AF">
        <w:rPr>
          <w:sz w:val="56"/>
        </w:rPr>
        <w:t xml:space="preserve">Cyfryzacja </w:t>
      </w:r>
      <w:r w:rsidR="00AE0B9F">
        <w:rPr>
          <w:sz w:val="56"/>
        </w:rPr>
        <w:t>a </w:t>
      </w:r>
      <w:r w:rsidR="00AE0B9F" w:rsidRPr="00AE0B9F">
        <w:rPr>
          <w:sz w:val="56"/>
        </w:rPr>
        <w:t xml:space="preserve">Wykluczenie cyfrowe </w:t>
      </w:r>
      <w:r w:rsidR="00C002BD">
        <w:rPr>
          <w:sz w:val="56"/>
        </w:rPr>
        <w:t xml:space="preserve">seniorów </w:t>
      </w:r>
      <w:r w:rsidR="00AE0B9F" w:rsidRPr="00AE0B9F">
        <w:rPr>
          <w:sz w:val="56"/>
        </w:rPr>
        <w:t xml:space="preserve"> </w:t>
      </w:r>
    </w:p>
    <w:p w14:paraId="1C01003D" w14:textId="69A81808" w:rsidR="009E4642" w:rsidRPr="00172FC9" w:rsidRDefault="009E4642" w:rsidP="00B832D7">
      <w:pPr>
        <w:jc w:val="center"/>
        <w:rPr>
          <w:caps/>
        </w:rPr>
      </w:pPr>
    </w:p>
    <w:p w14:paraId="13A205F0" w14:textId="77777777" w:rsidR="00B832D7" w:rsidRDefault="00B832D7" w:rsidP="00B832D7">
      <w:pPr>
        <w:pStyle w:val="Autor"/>
        <w:jc w:val="right"/>
      </w:pPr>
    </w:p>
    <w:p w14:paraId="6D72E1F9" w14:textId="394F73F8" w:rsidR="009E4642" w:rsidRPr="00816F0E" w:rsidRDefault="00FF467F" w:rsidP="009D47CA">
      <w:pPr>
        <w:pStyle w:val="Autor"/>
      </w:pPr>
      <w:r>
        <w:t>Agata Cebera</w:t>
      </w:r>
    </w:p>
    <w:p w14:paraId="6B54080A" w14:textId="77777777" w:rsidR="009E4642" w:rsidRDefault="00816F0E">
      <w:r>
        <w:br w:type="page"/>
      </w:r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2138807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785D3C1" w14:textId="77777777" w:rsidR="00157F7F" w:rsidRPr="00AF3720" w:rsidRDefault="00157F7F" w:rsidP="00157F7F">
          <w:pPr>
            <w:pStyle w:val="Nagwekspisutreci"/>
            <w:rPr>
              <w:color w:val="F75952" w:themeColor="accent1"/>
            </w:rPr>
          </w:pPr>
          <w:r w:rsidRPr="00AF3720">
            <w:rPr>
              <w:color w:val="F75952" w:themeColor="accent1"/>
            </w:rPr>
            <w:t>Spis</w:t>
          </w:r>
        </w:p>
        <w:p w14:paraId="741967B4" w14:textId="77777777" w:rsidR="00157F7F" w:rsidRDefault="00157F7F" w:rsidP="00157F7F">
          <w:pPr>
            <w:pStyle w:val="Nagwekspisutreci"/>
          </w:pPr>
          <w:r>
            <w:t>treści</w:t>
          </w:r>
        </w:p>
        <w:p w14:paraId="3D7A967D" w14:textId="4F8D8381" w:rsidR="00FB1731" w:rsidRDefault="00157F7F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r w:rsidRPr="000834BA">
            <w:rPr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0834BA">
            <w:rPr>
              <w:i w:val="0"/>
              <w:iCs w:val="0"/>
              <w:sz w:val="28"/>
              <w:szCs w:val="28"/>
            </w:rPr>
            <w:instrText>TOC \o "1-3" \h \z \u</w:instrText>
          </w:r>
          <w:r w:rsidRPr="000834BA">
            <w:rPr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154695892" w:history="1">
            <w:r w:rsidR="00FB1731" w:rsidRPr="009E5D8A">
              <w:rPr>
                <w:rStyle w:val="Hipercze"/>
                <w:noProof/>
              </w:rPr>
              <w:t>Wprowadzenie</w:t>
            </w:r>
            <w:r w:rsidR="00FB1731">
              <w:rPr>
                <w:noProof/>
                <w:webHidden/>
              </w:rPr>
              <w:tab/>
            </w:r>
            <w:r w:rsidR="00FB1731">
              <w:rPr>
                <w:noProof/>
                <w:webHidden/>
              </w:rPr>
              <w:fldChar w:fldCharType="begin"/>
            </w:r>
            <w:r w:rsidR="00FB1731">
              <w:rPr>
                <w:noProof/>
                <w:webHidden/>
              </w:rPr>
              <w:instrText xml:space="preserve"> PAGEREF _Toc154695892 \h </w:instrText>
            </w:r>
            <w:r w:rsidR="00FB1731">
              <w:rPr>
                <w:noProof/>
                <w:webHidden/>
              </w:rPr>
            </w:r>
            <w:r w:rsidR="00FB1731">
              <w:rPr>
                <w:noProof/>
                <w:webHidden/>
              </w:rPr>
              <w:fldChar w:fldCharType="separate"/>
            </w:r>
            <w:r w:rsidR="00FB1731">
              <w:rPr>
                <w:noProof/>
                <w:webHidden/>
              </w:rPr>
              <w:t>3</w:t>
            </w:r>
            <w:r w:rsidR="00FB1731">
              <w:rPr>
                <w:noProof/>
                <w:webHidden/>
              </w:rPr>
              <w:fldChar w:fldCharType="end"/>
            </w:r>
          </w:hyperlink>
        </w:p>
        <w:p w14:paraId="22EC0E28" w14:textId="343128D6" w:rsidR="00FB1731" w:rsidRPr="00FB1731" w:rsidRDefault="00FB1731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hyperlink w:anchor="_Toc154695893" w:history="1">
            <w:r w:rsidRPr="00FB1731">
              <w:rPr>
                <w:rStyle w:val="Hipercze"/>
                <w:i w:val="0"/>
                <w:iCs w:val="0"/>
                <w:noProof/>
              </w:rPr>
              <w:t>cyfryzacja administracji publicznej</w:t>
            </w:r>
            <w:r w:rsidRPr="00FB1731">
              <w:rPr>
                <w:i w:val="0"/>
                <w:iCs w:val="0"/>
                <w:noProof/>
                <w:webHidden/>
              </w:rPr>
              <w:tab/>
            </w:r>
            <w:r w:rsidRPr="00FB1731">
              <w:rPr>
                <w:i w:val="0"/>
                <w:iCs w:val="0"/>
                <w:noProof/>
                <w:webHidden/>
              </w:rPr>
              <w:fldChar w:fldCharType="begin"/>
            </w:r>
            <w:r w:rsidRPr="00FB1731">
              <w:rPr>
                <w:i w:val="0"/>
                <w:iCs w:val="0"/>
                <w:noProof/>
                <w:webHidden/>
              </w:rPr>
              <w:instrText xml:space="preserve"> PAGEREF _Toc154695893 \h </w:instrText>
            </w:r>
            <w:r w:rsidRPr="00FB1731">
              <w:rPr>
                <w:i w:val="0"/>
                <w:iCs w:val="0"/>
                <w:noProof/>
                <w:webHidden/>
              </w:rPr>
            </w:r>
            <w:r w:rsidRPr="00FB1731">
              <w:rPr>
                <w:i w:val="0"/>
                <w:iCs w:val="0"/>
                <w:noProof/>
                <w:webHidden/>
              </w:rPr>
              <w:fldChar w:fldCharType="separate"/>
            </w:r>
            <w:r w:rsidRPr="00FB1731">
              <w:rPr>
                <w:i w:val="0"/>
                <w:iCs w:val="0"/>
                <w:noProof/>
                <w:webHidden/>
              </w:rPr>
              <w:t>4</w:t>
            </w:r>
            <w:r w:rsidRPr="00FB1731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4E7D8B7" w14:textId="1E9A115D" w:rsidR="00FB1731" w:rsidRPr="00FB1731" w:rsidRDefault="00FB1731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hyperlink w:anchor="_Toc154695894" w:history="1">
            <w:r w:rsidRPr="00FB1731">
              <w:rPr>
                <w:rStyle w:val="Hipercze"/>
                <w:i w:val="0"/>
                <w:iCs w:val="0"/>
                <w:noProof/>
              </w:rPr>
              <w:t>Czym jest wykluczenie cyfrowe?</w:t>
            </w:r>
            <w:r w:rsidRPr="00FB1731">
              <w:rPr>
                <w:i w:val="0"/>
                <w:iCs w:val="0"/>
                <w:noProof/>
                <w:webHidden/>
              </w:rPr>
              <w:tab/>
            </w:r>
            <w:r w:rsidRPr="00FB1731">
              <w:rPr>
                <w:i w:val="0"/>
                <w:iCs w:val="0"/>
                <w:noProof/>
                <w:webHidden/>
              </w:rPr>
              <w:fldChar w:fldCharType="begin"/>
            </w:r>
            <w:r w:rsidRPr="00FB1731">
              <w:rPr>
                <w:i w:val="0"/>
                <w:iCs w:val="0"/>
                <w:noProof/>
                <w:webHidden/>
              </w:rPr>
              <w:instrText xml:space="preserve"> PAGEREF _Toc154695894 \h </w:instrText>
            </w:r>
            <w:r w:rsidRPr="00FB1731">
              <w:rPr>
                <w:i w:val="0"/>
                <w:iCs w:val="0"/>
                <w:noProof/>
                <w:webHidden/>
              </w:rPr>
            </w:r>
            <w:r w:rsidRPr="00FB1731">
              <w:rPr>
                <w:i w:val="0"/>
                <w:iCs w:val="0"/>
                <w:noProof/>
                <w:webHidden/>
              </w:rPr>
              <w:fldChar w:fldCharType="separate"/>
            </w:r>
            <w:r w:rsidRPr="00FB1731">
              <w:rPr>
                <w:i w:val="0"/>
                <w:iCs w:val="0"/>
                <w:noProof/>
                <w:webHidden/>
              </w:rPr>
              <w:t>4</w:t>
            </w:r>
            <w:r w:rsidRPr="00FB1731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D71C98F" w14:textId="3BBE04F1" w:rsidR="00FB1731" w:rsidRPr="00FB1731" w:rsidRDefault="00FB1731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hyperlink w:anchor="_Toc154695895" w:history="1">
            <w:r w:rsidRPr="00FB1731">
              <w:rPr>
                <w:rStyle w:val="Hipercze"/>
                <w:i w:val="0"/>
                <w:iCs w:val="0"/>
                <w:noProof/>
              </w:rPr>
              <w:t>Zachęta a przymus</w:t>
            </w:r>
            <w:r w:rsidRPr="00FB1731">
              <w:rPr>
                <w:i w:val="0"/>
                <w:iCs w:val="0"/>
                <w:noProof/>
                <w:webHidden/>
              </w:rPr>
              <w:tab/>
            </w:r>
            <w:r w:rsidRPr="00FB1731">
              <w:rPr>
                <w:i w:val="0"/>
                <w:iCs w:val="0"/>
                <w:noProof/>
                <w:webHidden/>
              </w:rPr>
              <w:fldChar w:fldCharType="begin"/>
            </w:r>
            <w:r w:rsidRPr="00FB1731">
              <w:rPr>
                <w:i w:val="0"/>
                <w:iCs w:val="0"/>
                <w:noProof/>
                <w:webHidden/>
              </w:rPr>
              <w:instrText xml:space="preserve"> PAGEREF _Toc154695895 \h </w:instrText>
            </w:r>
            <w:r w:rsidRPr="00FB1731">
              <w:rPr>
                <w:i w:val="0"/>
                <w:iCs w:val="0"/>
                <w:noProof/>
                <w:webHidden/>
              </w:rPr>
            </w:r>
            <w:r w:rsidRPr="00FB1731">
              <w:rPr>
                <w:i w:val="0"/>
                <w:iCs w:val="0"/>
                <w:noProof/>
                <w:webHidden/>
              </w:rPr>
              <w:fldChar w:fldCharType="separate"/>
            </w:r>
            <w:r w:rsidRPr="00FB1731">
              <w:rPr>
                <w:i w:val="0"/>
                <w:iCs w:val="0"/>
                <w:noProof/>
                <w:webHidden/>
              </w:rPr>
              <w:t>6</w:t>
            </w:r>
            <w:r w:rsidRPr="00FB1731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14E4E0F" w14:textId="3601739A" w:rsidR="00FB1731" w:rsidRPr="00FB1731" w:rsidRDefault="00FB1731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hyperlink w:anchor="_Toc154695896" w:history="1">
            <w:r w:rsidRPr="00FB1731">
              <w:rPr>
                <w:rStyle w:val="Hipercze"/>
                <w:i w:val="0"/>
                <w:iCs w:val="0"/>
                <w:noProof/>
              </w:rPr>
              <w:t>Podsumowanie</w:t>
            </w:r>
            <w:r w:rsidRPr="00FB1731">
              <w:rPr>
                <w:i w:val="0"/>
                <w:iCs w:val="0"/>
                <w:noProof/>
                <w:webHidden/>
              </w:rPr>
              <w:tab/>
            </w:r>
            <w:r w:rsidRPr="00FB1731">
              <w:rPr>
                <w:i w:val="0"/>
                <w:iCs w:val="0"/>
                <w:noProof/>
                <w:webHidden/>
              </w:rPr>
              <w:fldChar w:fldCharType="begin"/>
            </w:r>
            <w:r w:rsidRPr="00FB1731">
              <w:rPr>
                <w:i w:val="0"/>
                <w:iCs w:val="0"/>
                <w:noProof/>
                <w:webHidden/>
              </w:rPr>
              <w:instrText xml:space="preserve"> PAGEREF _Toc154695896 \h </w:instrText>
            </w:r>
            <w:r w:rsidRPr="00FB1731">
              <w:rPr>
                <w:i w:val="0"/>
                <w:iCs w:val="0"/>
                <w:noProof/>
                <w:webHidden/>
              </w:rPr>
            </w:r>
            <w:r w:rsidRPr="00FB1731">
              <w:rPr>
                <w:i w:val="0"/>
                <w:iCs w:val="0"/>
                <w:noProof/>
                <w:webHidden/>
              </w:rPr>
              <w:fldChar w:fldCharType="separate"/>
            </w:r>
            <w:r w:rsidRPr="00FB1731">
              <w:rPr>
                <w:i w:val="0"/>
                <w:iCs w:val="0"/>
                <w:noProof/>
                <w:webHidden/>
              </w:rPr>
              <w:t>7</w:t>
            </w:r>
            <w:r w:rsidRPr="00FB1731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E090E2C" w14:textId="641590DB" w:rsidR="00157F7F" w:rsidRDefault="00157F7F" w:rsidP="00157F7F">
          <w:r w:rsidRPr="000834BA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672C18A" w14:textId="77777777" w:rsidR="00157F7F" w:rsidRPr="00816F0E" w:rsidRDefault="00157F7F"/>
    <w:p w14:paraId="7E4A25A5" w14:textId="77777777" w:rsidR="00157F7F" w:rsidRDefault="00157F7F">
      <w:pPr>
        <w:rPr>
          <w:rFonts w:asciiTheme="majorHAnsi" w:eastAsiaTheme="majorEastAsia" w:hAnsiTheme="majorHAnsi" w:cstheme="majorBidi"/>
          <w:b/>
          <w:caps/>
          <w:color w:val="2A2A2A" w:themeColor="text2"/>
          <w:sz w:val="52"/>
          <w:szCs w:val="52"/>
        </w:rPr>
      </w:pPr>
      <w:bookmarkStart w:id="0" w:name="OLE_LINK1"/>
      <w:bookmarkStart w:id="1" w:name="OLE_LINK2"/>
      <w:r>
        <w:rPr>
          <w:sz w:val="52"/>
          <w:szCs w:val="52"/>
        </w:rPr>
        <w:br w:type="page"/>
      </w:r>
    </w:p>
    <w:p w14:paraId="4E189E46" w14:textId="7505E5B4" w:rsidR="00F8743D" w:rsidRPr="00580D6F" w:rsidRDefault="00F8743D" w:rsidP="00580D6F">
      <w:pPr>
        <w:pStyle w:val="Nagwek1"/>
        <w:spacing w:before="600" w:after="800"/>
        <w:rPr>
          <w:sz w:val="52"/>
          <w:szCs w:val="52"/>
        </w:rPr>
      </w:pPr>
      <w:bookmarkStart w:id="2" w:name="_Toc154695892"/>
      <w:r w:rsidRPr="00580D6F">
        <w:rPr>
          <w:sz w:val="52"/>
          <w:szCs w:val="52"/>
        </w:rPr>
        <w:lastRenderedPageBreak/>
        <w:t>Wprowadzenie</w:t>
      </w:r>
      <w:bookmarkEnd w:id="2"/>
    </w:p>
    <w:p w14:paraId="7C9A3219" w14:textId="014F2BCC" w:rsidR="00635BA2" w:rsidRDefault="00F8743D" w:rsidP="00635BA2">
      <w:r>
        <w:t>P</w:t>
      </w:r>
      <w:r w:rsidR="00635BA2">
        <w:t xml:space="preserve">rawa osób </w:t>
      </w:r>
      <w:r w:rsidR="00D646AF">
        <w:t>starszych</w:t>
      </w:r>
      <w:r w:rsidR="00635BA2">
        <w:t xml:space="preserve"> można </w:t>
      </w:r>
      <w:r w:rsidR="006B1D1E">
        <w:t>podzielić</w:t>
      </w:r>
      <w:r w:rsidR="00635BA2">
        <w:t xml:space="preserve"> na trzy główne obszary: prawo do bycia chronionym, prawo do </w:t>
      </w:r>
      <w:r w:rsidR="00D646AF">
        <w:t>uczestnictwa i</w:t>
      </w:r>
      <w:r w:rsidR="00635BA2">
        <w:t xml:space="preserve"> prawo do poszanowania wizerunku. </w:t>
      </w:r>
      <w:r w:rsidR="008215AF">
        <w:t>K</w:t>
      </w:r>
      <w:r w:rsidR="00635BA2">
        <w:t>luczowe dla za</w:t>
      </w:r>
      <w:r w:rsidR="007A4C7F">
        <w:t xml:space="preserve">gwarantowania </w:t>
      </w:r>
      <w:r w:rsidR="00635BA2">
        <w:t>społecznego zaangażowania seniorów</w:t>
      </w:r>
      <w:r w:rsidR="008215AF">
        <w:t xml:space="preserve"> jest za</w:t>
      </w:r>
      <w:r w:rsidR="007A4C7F">
        <w:t xml:space="preserve">pewnienie </w:t>
      </w:r>
      <w:r w:rsidR="008215AF">
        <w:t xml:space="preserve">prawa do uczestnictwa, a zatem m.in. </w:t>
      </w:r>
      <w:r w:rsidR="00635BA2">
        <w:t>tworzenie</w:t>
      </w:r>
      <w:r w:rsidR="00D646AF">
        <w:t xml:space="preserve"> dostępnych</w:t>
      </w:r>
      <w:r w:rsidR="00635BA2">
        <w:t xml:space="preserve"> przestrzeni prawnych, </w:t>
      </w:r>
      <w:r w:rsidR="00D646AF">
        <w:t xml:space="preserve">tj. takich </w:t>
      </w:r>
      <w:r w:rsidR="00635BA2">
        <w:t xml:space="preserve">które nie ograniczają </w:t>
      </w:r>
      <w:r w:rsidR="00D07005">
        <w:t xml:space="preserve">możliwości </w:t>
      </w:r>
      <w:r w:rsidR="00635BA2">
        <w:t>bycia aktywnym członkiem społeczeństwa</w:t>
      </w:r>
      <w:r w:rsidR="007A4C7F">
        <w:t xml:space="preserve"> np. przedsiębiorcą</w:t>
      </w:r>
      <w:r w:rsidR="00635BA2">
        <w:t xml:space="preserve">. Brak możliwości uczestnictwa prowadzić </w:t>
      </w:r>
      <w:r w:rsidR="00D646AF">
        <w:t xml:space="preserve">może </w:t>
      </w:r>
      <w:r w:rsidR="00635BA2">
        <w:t xml:space="preserve">do izolacji seniorów, ograniczając ich możliwości i szanse dostępne dla reszty społeczeństwa, co może mieć wpływ na </w:t>
      </w:r>
      <w:r w:rsidR="006B1D1E">
        <w:t xml:space="preserve">ich życie w wymiarze </w:t>
      </w:r>
      <w:r w:rsidR="00635BA2">
        <w:t>ekonomiczny</w:t>
      </w:r>
      <w:r w:rsidR="006B1D1E">
        <w:t>m</w:t>
      </w:r>
      <w:r w:rsidR="00635BA2">
        <w:t>, polityczny</w:t>
      </w:r>
      <w:r w:rsidR="006B1D1E">
        <w:t>m</w:t>
      </w:r>
      <w:r w:rsidR="00635BA2">
        <w:t xml:space="preserve"> i społeczny</w:t>
      </w:r>
      <w:r w:rsidR="006B1D1E">
        <w:t>m</w:t>
      </w:r>
      <w:r w:rsidR="00635BA2">
        <w:t>.</w:t>
      </w:r>
    </w:p>
    <w:p w14:paraId="64BC3BB3" w14:textId="07D08134" w:rsidR="00635BA2" w:rsidRDefault="006B1D1E" w:rsidP="00635BA2">
      <w:r>
        <w:t xml:space="preserve">Ze względu </w:t>
      </w:r>
      <w:r w:rsidR="00D646AF">
        <w:t>na postępującą</w:t>
      </w:r>
      <w:r>
        <w:t xml:space="preserve"> cyfryzacje </w:t>
      </w:r>
      <w:r w:rsidR="00D646AF">
        <w:t xml:space="preserve">kolejnych sfer </w:t>
      </w:r>
      <w:r>
        <w:t>życia publicznego, szczególnie ważna dla omawianego zagadnienia jest</w:t>
      </w:r>
      <w:r w:rsidR="00635BA2">
        <w:t xml:space="preserve"> analiza</w:t>
      </w:r>
      <w:r w:rsidR="002D37CF">
        <w:t xml:space="preserve"> czynnika</w:t>
      </w:r>
      <w:r w:rsidR="00635BA2">
        <w:t xml:space="preserve"> wykluczenia cyfrowego osób starszych. Choć przymusowa cyfryzacja może przyspieszyć proces informatyzacji w administracji publicznej, nie powinna ona naruszać podstawowych praw i wolności jednostek.</w:t>
      </w:r>
      <w:r w:rsidR="00FB1731">
        <w:t xml:space="preserve"> Cyfryzacja nie jest bowiem wartością samą w sobie, a narzędziem dla zapewniania efektywności działania administracji publicznej, a </w:t>
      </w:r>
      <w:proofErr w:type="gramStart"/>
      <w:r w:rsidR="00FB1731">
        <w:t>finalnie</w:t>
      </w:r>
      <w:proofErr w:type="gramEnd"/>
      <w:r w:rsidR="00FB1731">
        <w:t xml:space="preserve"> wzrostu dobrostanu obywateli. </w:t>
      </w:r>
      <w:r w:rsidR="00635BA2">
        <w:t xml:space="preserve">Istotne jest więc znalezienie równowagi między </w:t>
      </w:r>
      <w:r w:rsidR="008215AF">
        <w:t>rozwojem cyfrowym</w:t>
      </w:r>
      <w:r w:rsidR="00635BA2">
        <w:t xml:space="preserve"> a </w:t>
      </w:r>
      <w:r w:rsidR="002D37CF">
        <w:t xml:space="preserve">wtórnym </w:t>
      </w:r>
      <w:r w:rsidR="000824CE">
        <w:t>wykluczeni</w:t>
      </w:r>
      <w:r w:rsidR="002D37CF">
        <w:t>em</w:t>
      </w:r>
      <w:r w:rsidR="008215AF">
        <w:t xml:space="preserve"> z życia publicznego osób </w:t>
      </w:r>
      <w:r w:rsidR="002D37CF">
        <w:t xml:space="preserve">już pierwotnie </w:t>
      </w:r>
      <w:r w:rsidR="008215AF">
        <w:t>wykluczonyc</w:t>
      </w:r>
      <w:r w:rsidR="002D37CF">
        <w:t xml:space="preserve">h, bowiem wykluczonych </w:t>
      </w:r>
      <w:r w:rsidR="008215AF">
        <w:t xml:space="preserve">cyfrowo. </w:t>
      </w:r>
    </w:p>
    <w:p w14:paraId="04643D94" w14:textId="192C834F" w:rsidR="00D937E4" w:rsidRPr="009673E2" w:rsidRDefault="00635BA2" w:rsidP="00635BA2">
      <w:r>
        <w:t>W</w:t>
      </w:r>
      <w:r w:rsidR="006B1D1E">
        <w:t> </w:t>
      </w:r>
      <w:r w:rsidR="00C002BD">
        <w:t>świetle</w:t>
      </w:r>
      <w:r>
        <w:t xml:space="preserve"> definicj</w:t>
      </w:r>
      <w:r w:rsidR="00C002BD">
        <w:t>i ustawowej</w:t>
      </w:r>
      <w:r>
        <w:t xml:space="preserve">, osoba starsza to </w:t>
      </w:r>
      <w:r w:rsidR="00163CA2">
        <w:t>osoba</w:t>
      </w:r>
      <w:r>
        <w:t>, kt</w:t>
      </w:r>
      <w:r w:rsidR="00163CA2">
        <w:t>óra ukończyła</w:t>
      </w:r>
      <w:r>
        <w:t xml:space="preserve"> 60. rok życia. </w:t>
      </w:r>
      <w:r w:rsidR="00D937E4">
        <w:t>Powołana d</w:t>
      </w:r>
      <w:r>
        <w:t xml:space="preserve">efinicja </w:t>
      </w:r>
      <w:r w:rsidR="00D937E4">
        <w:t>odpowiada podejściu</w:t>
      </w:r>
      <w:r>
        <w:t xml:space="preserve"> </w:t>
      </w:r>
      <w:r w:rsidR="00163CA2">
        <w:t xml:space="preserve">prezentowanemu przez </w:t>
      </w:r>
      <w:r>
        <w:t>Światow</w:t>
      </w:r>
      <w:r w:rsidR="00163CA2">
        <w:t>ą</w:t>
      </w:r>
      <w:r>
        <w:t xml:space="preserve"> Organizacj</w:t>
      </w:r>
      <w:r w:rsidR="00163CA2">
        <w:t xml:space="preserve">ę </w:t>
      </w:r>
      <w:r>
        <w:t xml:space="preserve">Zdrowia (WHO), która </w:t>
      </w:r>
      <w:r w:rsidR="00C002BD">
        <w:t>wyróżnia</w:t>
      </w:r>
      <w:r>
        <w:t xml:space="preserve"> trzy etapy: </w:t>
      </w:r>
      <w:r w:rsidR="00C002BD">
        <w:t xml:space="preserve">tzw. </w:t>
      </w:r>
      <w:r>
        <w:t>wczesną</w:t>
      </w:r>
      <w:r w:rsidR="00C002BD">
        <w:t xml:space="preserve"> starość</w:t>
      </w:r>
      <w:r>
        <w:t xml:space="preserve"> (60-75 lat), </w:t>
      </w:r>
      <w:r w:rsidR="00C002BD">
        <w:t xml:space="preserve">tzw. </w:t>
      </w:r>
      <w:r>
        <w:t>późną</w:t>
      </w:r>
      <w:r w:rsidR="00C002BD">
        <w:t xml:space="preserve"> starość</w:t>
      </w:r>
      <w:r>
        <w:t xml:space="preserve"> (75-90 lat) oraz długowieczność (powyżej 90 lat). Podobną klasyfikację przyjmuje także Organizacja Narodów Zjednoczonych.</w:t>
      </w:r>
      <w:r w:rsidR="00D937E4">
        <w:t xml:space="preserve"> W literaturze </w:t>
      </w:r>
      <w:r w:rsidR="00CF037E">
        <w:t>zwraca się jednak uwagę na</w:t>
      </w:r>
      <w:r w:rsidR="00D937E4">
        <w:t xml:space="preserve"> trudności związane z określeniem precyzyjnej granicy wieku seniora, a to ze względu na różnice między wiekiem chronologicznym, biologicznym i psychologicznym. Innymi słowy, sam „PESEL” nie determinuje ani </w:t>
      </w:r>
      <w:r w:rsidR="00D937E4">
        <w:lastRenderedPageBreak/>
        <w:t>kondycji psychofizycznej, ani zdolności poznawczych człowiek</w:t>
      </w:r>
      <w:r w:rsidR="00CF037E">
        <w:t>a</w:t>
      </w:r>
      <w:r w:rsidR="009C1D6B">
        <w:t>, a jedynie „statystycznie” pokazuje pewne trendy i przewidywania.</w:t>
      </w:r>
    </w:p>
    <w:p w14:paraId="5A877823" w14:textId="36AB8891" w:rsidR="00F8743D" w:rsidRPr="00580D6F" w:rsidRDefault="00CF037E" w:rsidP="00580D6F">
      <w:pPr>
        <w:pStyle w:val="Nagwek1"/>
        <w:spacing w:before="600" w:after="800"/>
        <w:rPr>
          <w:sz w:val="52"/>
          <w:szCs w:val="52"/>
        </w:rPr>
      </w:pPr>
      <w:bookmarkStart w:id="3" w:name="_Toc154695893"/>
      <w:bookmarkEnd w:id="0"/>
      <w:bookmarkEnd w:id="1"/>
      <w:r>
        <w:rPr>
          <w:sz w:val="52"/>
          <w:szCs w:val="52"/>
        </w:rPr>
        <w:t>cyfryzacja</w:t>
      </w:r>
      <w:r w:rsidR="00F8743D" w:rsidRPr="00580D6F">
        <w:rPr>
          <w:sz w:val="52"/>
          <w:szCs w:val="52"/>
        </w:rPr>
        <w:t xml:space="preserve"> administracji publicznej</w:t>
      </w:r>
      <w:bookmarkEnd w:id="3"/>
    </w:p>
    <w:p w14:paraId="1DE19337" w14:textId="2EE584F9" w:rsidR="000C60EA" w:rsidRDefault="00102680" w:rsidP="00102680">
      <w:r>
        <w:t xml:space="preserve">Jednym z rezultatów </w:t>
      </w:r>
      <w:r w:rsidR="005612F4">
        <w:t xml:space="preserve">procesu </w:t>
      </w:r>
      <w:r>
        <w:t xml:space="preserve">cyfryzacji administracji publicznej jest </w:t>
      </w:r>
      <w:r w:rsidR="0019684B">
        <w:t>powstanie</w:t>
      </w:r>
      <w:r>
        <w:t xml:space="preserve"> </w:t>
      </w:r>
      <w:r w:rsidR="00115226">
        <w:t xml:space="preserve">szerokiego katalogu </w:t>
      </w:r>
      <w:r w:rsidR="005612F4">
        <w:t>„</w:t>
      </w:r>
      <w:r>
        <w:t>e-usług</w:t>
      </w:r>
      <w:r w:rsidR="005612F4">
        <w:t xml:space="preserve">”. </w:t>
      </w:r>
      <w:r>
        <w:t xml:space="preserve">Charakterystyczną cechą polskiej e-administracji jest jej </w:t>
      </w:r>
      <w:r w:rsidR="005612F4">
        <w:t>„rozdrobnienie”</w:t>
      </w:r>
      <w:r>
        <w:t>, co oznacza świadczenie usług na</w:t>
      </w:r>
      <w:r w:rsidR="005612F4">
        <w:t xml:space="preserve"> wielu</w:t>
      </w:r>
      <w:r>
        <w:t xml:space="preserve"> różnych platformach, takich jak</w:t>
      </w:r>
      <w:r w:rsidR="0022439B">
        <w:t xml:space="preserve"> np.</w:t>
      </w:r>
      <w:r>
        <w:t xml:space="preserve"> </w:t>
      </w:r>
      <w:proofErr w:type="spellStart"/>
      <w:r>
        <w:t>ePUAP</w:t>
      </w:r>
      <w:proofErr w:type="spellEnd"/>
      <w:r>
        <w:t xml:space="preserve">, PUE ZUS, obywatel.gov.pl czy biznes.gov.pl. </w:t>
      </w:r>
      <w:r w:rsidR="005612F4">
        <w:t xml:space="preserve"> Rozsianie </w:t>
      </w:r>
      <w:r>
        <w:t>e-usług</w:t>
      </w:r>
      <w:r w:rsidR="005612F4">
        <w:t xml:space="preserve"> na wielu różnych platformach</w:t>
      </w:r>
      <w:r w:rsidR="0022439B">
        <w:t xml:space="preserve">, </w:t>
      </w:r>
      <w:r w:rsidR="005612F4">
        <w:t>witrynach</w:t>
      </w:r>
      <w:r w:rsidR="0022439B">
        <w:t xml:space="preserve"> i aplikacjach</w:t>
      </w:r>
      <w:r w:rsidR="005612F4">
        <w:t xml:space="preserve"> </w:t>
      </w:r>
      <w:r w:rsidR="00CD529D">
        <w:t>nie jest oceniane pozytywnie.</w:t>
      </w:r>
      <w:r>
        <w:t xml:space="preserve"> </w:t>
      </w:r>
      <w:r w:rsidR="00CD529D">
        <w:t>K</w:t>
      </w:r>
      <w:r>
        <w:t>ażda platforma</w:t>
      </w:r>
      <w:r w:rsidR="003257B6">
        <w:t xml:space="preserve"> czy witryna</w:t>
      </w:r>
      <w:r>
        <w:t xml:space="preserve"> ma inny interfejs, różne wymagania sprzętowe i różne </w:t>
      </w:r>
      <w:r w:rsidR="003257B6">
        <w:t>zasady użytkowania</w:t>
      </w:r>
      <w:r>
        <w:t xml:space="preserve">, co wymaga nabycia </w:t>
      </w:r>
      <w:r w:rsidR="003257B6">
        <w:t xml:space="preserve">proporcjonalnie </w:t>
      </w:r>
      <w:r>
        <w:t xml:space="preserve">większej liczby umiejętności. </w:t>
      </w:r>
      <w:r w:rsidR="0022439B">
        <w:t xml:space="preserve">Samą umiejętnością jest już </w:t>
      </w:r>
      <w:r w:rsidR="0014565A">
        <w:t xml:space="preserve">niekiedy </w:t>
      </w:r>
      <w:r w:rsidR="0022439B">
        <w:t xml:space="preserve">odnalezienie właściwej </w:t>
      </w:r>
      <w:r w:rsidR="0014565A">
        <w:t>platformy</w:t>
      </w:r>
      <w:r w:rsidR="0022439B">
        <w:t>, nie wspominającą o umiejętnościach jej obsług</w:t>
      </w:r>
      <w:r w:rsidR="0014565A">
        <w:t>i czy znajomości podstawowych przepisów prawa regulujących dane postępowanie administracyjne.</w:t>
      </w:r>
      <w:r w:rsidR="00FB1731">
        <w:t xml:space="preserve"> Zjawisko fragmentaryzacji obejmuje ponadto wielość narzędzi ukierunkowanych na ten sam cel, a to różnorodność podpisów elektronicznych, metod i trybów autoryzacji czynności, uwierzytelniania w systemie teleinformatycznym, a także trybów doręczeniowych. </w:t>
      </w:r>
      <w:r w:rsidR="0014565A">
        <w:t xml:space="preserve"> To wszystko sprawia, że niejednokrotnie skorzystanie z „tradycyjnych” form kontaktów z administracją jest łatwiejsze i szybsze, szczególnie </w:t>
      </w:r>
      <w:r w:rsidR="008B2DB5">
        <w:t>wtedy,</w:t>
      </w:r>
      <w:r w:rsidR="0014565A">
        <w:t xml:space="preserve"> gdy z komputera korzystamy okazjonalnie</w:t>
      </w:r>
      <w:r w:rsidR="008B2DB5">
        <w:t xml:space="preserve">, a </w:t>
      </w:r>
      <w:r w:rsidR="002D37CF">
        <w:t>sprawa,</w:t>
      </w:r>
      <w:r w:rsidR="008B2DB5">
        <w:t xml:space="preserve"> którą mamy załatwić w urzędzie ma charakter incydentalny.</w:t>
      </w:r>
    </w:p>
    <w:p w14:paraId="24182628" w14:textId="26FD644C" w:rsidR="00F8743D" w:rsidRPr="00580D6F" w:rsidRDefault="00F8743D" w:rsidP="00580D6F">
      <w:pPr>
        <w:pStyle w:val="Nagwek1"/>
        <w:spacing w:before="600" w:after="800"/>
        <w:rPr>
          <w:sz w:val="52"/>
          <w:szCs w:val="52"/>
        </w:rPr>
      </w:pPr>
      <w:bookmarkStart w:id="4" w:name="_Toc154695894"/>
      <w:r w:rsidRPr="00580D6F">
        <w:rPr>
          <w:sz w:val="52"/>
          <w:szCs w:val="52"/>
        </w:rPr>
        <w:lastRenderedPageBreak/>
        <w:t>Czym jest wykluczenie cyfrowe?</w:t>
      </w:r>
      <w:bookmarkEnd w:id="4"/>
    </w:p>
    <w:p w14:paraId="4FCB24EB" w14:textId="0AADB32A" w:rsidR="00A27DCC" w:rsidRDefault="00A27DCC" w:rsidP="00A27DCC">
      <w:r>
        <w:t>Wykluczenie cyfrowe to termin odnoszący się do</w:t>
      </w:r>
      <w:r w:rsidR="002D37CF">
        <w:t xml:space="preserve"> zjawiska polegającego na ograniczonym</w:t>
      </w:r>
      <w:r>
        <w:t xml:space="preserve"> dostęp</w:t>
      </w:r>
      <w:r w:rsidR="002D37CF">
        <w:t>ie</w:t>
      </w:r>
      <w:r>
        <w:t xml:space="preserve"> do technologii informacyjnych, co może wynikać </w:t>
      </w:r>
      <w:r w:rsidR="005467BE">
        <w:t xml:space="preserve">np. </w:t>
      </w:r>
      <w:r>
        <w:t xml:space="preserve">z braku </w:t>
      </w:r>
      <w:r w:rsidR="005467BE">
        <w:t xml:space="preserve">wystarczających </w:t>
      </w:r>
      <w:r>
        <w:t>środków finansowych na zakup niezbędnego sprzętu</w:t>
      </w:r>
      <w:r w:rsidR="008B2DB5">
        <w:t xml:space="preserve">, </w:t>
      </w:r>
      <w:r>
        <w:t xml:space="preserve">oprogramowania </w:t>
      </w:r>
      <w:r w:rsidR="008B2DB5">
        <w:t>czy</w:t>
      </w:r>
      <w:r>
        <w:t xml:space="preserve"> opłacenie związanych z nimi usług, takich jak </w:t>
      </w:r>
      <w:r w:rsidR="008701DA">
        <w:t xml:space="preserve">np. abonament na </w:t>
      </w:r>
      <w:r>
        <w:t>dostęp do Internetu. Oprócz aspektu finansowego istotnym czynnikiem jest również brak umiejętności korzystania z narzędzi informatycznych</w:t>
      </w:r>
      <w:r w:rsidR="002D4B8B">
        <w:t xml:space="preserve">, </w:t>
      </w:r>
      <w:r w:rsidR="008701DA">
        <w:t xml:space="preserve">ogólna </w:t>
      </w:r>
      <w:r w:rsidR="002D4B8B">
        <w:t xml:space="preserve">niechęć </w:t>
      </w:r>
      <w:r>
        <w:t>do nowych technologii</w:t>
      </w:r>
      <w:r w:rsidR="002D4B8B">
        <w:t>, jak również brak zaufania do infrastruktury informatycznej</w:t>
      </w:r>
      <w:r w:rsidR="004E531A">
        <w:t>.</w:t>
      </w:r>
    </w:p>
    <w:p w14:paraId="3F365C1D" w14:textId="05F3C098" w:rsidR="00D55A3E" w:rsidRDefault="00A27DCC" w:rsidP="00E329B2">
      <w:r>
        <w:t>Badania wykazują, że istnieje zależność między wiekiem a stopniem wykluczenia cyfrowego. W badaniach przeprowadzonych przez CBOS w 2022 r.</w:t>
      </w:r>
      <w:r w:rsidR="00D77A24">
        <w:rPr>
          <w:rStyle w:val="Odwoanieprzypisudolnego"/>
        </w:rPr>
        <w:footnoteReference w:id="1"/>
      </w:r>
      <w:r w:rsidR="001F249B">
        <w:t xml:space="preserve"> </w:t>
      </w:r>
      <w:r>
        <w:t>analizowano korzystanie z Internetu</w:t>
      </w:r>
      <w:r w:rsidR="00285A9F">
        <w:t xml:space="preserve"> w rożnych przedziałach wiekowych</w:t>
      </w:r>
      <w:r w:rsidR="001F249B">
        <w:t xml:space="preserve"> i ustalono, że korzystanie z Internetu </w:t>
      </w:r>
      <w:r>
        <w:t xml:space="preserve">jest </w:t>
      </w:r>
      <w:r w:rsidR="002965DC">
        <w:t xml:space="preserve">bardzo </w:t>
      </w:r>
      <w:r>
        <w:t>powszechne wśród osób młodszych, szczególnie poniżej 35 roku życi</w:t>
      </w:r>
      <w:r w:rsidR="002965DC">
        <w:t>a</w:t>
      </w:r>
      <w:r>
        <w:t xml:space="preserve">. Wśród seniorów </w:t>
      </w:r>
      <w:r w:rsidR="00306555">
        <w:t xml:space="preserve">odsetek osób korzystających </w:t>
      </w:r>
      <w:r w:rsidR="002965DC">
        <w:t>z Internetu</w:t>
      </w:r>
      <w:r>
        <w:t xml:space="preserve"> </w:t>
      </w:r>
      <w:r w:rsidR="001F249B">
        <w:t xml:space="preserve">był </w:t>
      </w:r>
      <w:r>
        <w:t>znacznie niższy</w:t>
      </w:r>
      <w:r w:rsidR="001F249B">
        <w:t xml:space="preserve"> i wnosił </w:t>
      </w:r>
      <w:r>
        <w:t xml:space="preserve">około 40% wśród osób w wieku 65-74 lat i około 20% wśród osób powyżej 75 roku życia. </w:t>
      </w:r>
      <w:r w:rsidR="003C6DEB">
        <w:t>Z kolei z</w:t>
      </w:r>
      <w:r w:rsidR="007E38DC">
        <w:t xml:space="preserve"> </w:t>
      </w:r>
      <w:r>
        <w:t>bada</w:t>
      </w:r>
      <w:r w:rsidR="003C6DEB">
        <w:t>ń GUS</w:t>
      </w:r>
      <w:r w:rsidR="007E38DC">
        <w:t xml:space="preserve"> z 2021 roku</w:t>
      </w:r>
      <w:r w:rsidR="00D77A24">
        <w:rPr>
          <w:rStyle w:val="Odwoanieprzypisudolnego"/>
        </w:rPr>
        <w:footnoteReference w:id="2"/>
      </w:r>
      <w:r>
        <w:t xml:space="preserve"> </w:t>
      </w:r>
      <w:r w:rsidR="007E38DC">
        <w:t xml:space="preserve">wynika, że </w:t>
      </w:r>
      <w:r>
        <w:t>z Internetu korzystało</w:t>
      </w:r>
      <w:r w:rsidR="00285A9F">
        <w:t xml:space="preserve"> zaledwie</w:t>
      </w:r>
      <w:r>
        <w:t xml:space="preserve"> 57,6% osób w wieku 60-74 lat. Oba badania potwierdzają </w:t>
      </w:r>
      <w:r w:rsidR="00F44A17">
        <w:t xml:space="preserve">zatem </w:t>
      </w:r>
      <w:r>
        <w:t>występowanie zjawiska wykluczenia cyfrowego wśród osób starszych</w:t>
      </w:r>
      <w:r w:rsidR="002965DC">
        <w:t xml:space="preserve">, co stanowi przeszkodę dla </w:t>
      </w:r>
      <w:r w:rsidR="00F44A17">
        <w:t xml:space="preserve">pełnej </w:t>
      </w:r>
      <w:r w:rsidR="002965DC">
        <w:t>cyfryzacji</w:t>
      </w:r>
      <w:r w:rsidR="00F44A17">
        <w:t xml:space="preserve"> </w:t>
      </w:r>
      <w:r w:rsidR="00285A9F">
        <w:t xml:space="preserve">procesów w </w:t>
      </w:r>
      <w:r w:rsidR="00F44A17">
        <w:t xml:space="preserve">administracji publicznej. </w:t>
      </w:r>
      <w:r w:rsidR="002965DC">
        <w:t xml:space="preserve">Warto również zaznaczyć, że samo korzystanie z Internetu np. czytanie newsów lub oglądanie filmów, nie </w:t>
      </w:r>
      <w:r w:rsidR="00E329B2">
        <w:t>oznacza automatycznie, że</w:t>
      </w:r>
      <w:r w:rsidR="002965DC">
        <w:t xml:space="preserve"> osoby te</w:t>
      </w:r>
      <w:r w:rsidR="00E329B2">
        <w:t xml:space="preserve"> korzystają z e-usług </w:t>
      </w:r>
      <w:r w:rsidR="00E329B2">
        <w:lastRenderedPageBreak/>
        <w:t>administracji publicznej</w:t>
      </w:r>
      <w:r w:rsidR="002965DC">
        <w:t xml:space="preserve"> i mają </w:t>
      </w:r>
      <w:r w:rsidR="003C6DEB">
        <w:t>umiejętności,</w:t>
      </w:r>
      <w:r w:rsidR="002965DC">
        <w:t xml:space="preserve"> aby z usług tych korzystać</w:t>
      </w:r>
      <w:r w:rsidR="00F44A17">
        <w:t xml:space="preserve"> w przyszłości</w:t>
      </w:r>
      <w:r w:rsidR="002965DC">
        <w:t xml:space="preserve">. </w:t>
      </w:r>
      <w:r w:rsidR="005467BE">
        <w:t xml:space="preserve">Potwierdzają to </w:t>
      </w:r>
      <w:r w:rsidR="00D77A24">
        <w:t xml:space="preserve">powołane powyżej </w:t>
      </w:r>
      <w:r w:rsidR="005467BE">
        <w:t>b</w:t>
      </w:r>
      <w:r w:rsidR="00E329B2">
        <w:t>adania GUS z 2021 roku</w:t>
      </w:r>
      <w:r w:rsidR="005467BE">
        <w:t>, które ukazują</w:t>
      </w:r>
      <w:r w:rsidR="00E329B2">
        <w:t xml:space="preserve">, że tylko 21,8% osób w wieku 60–74 lat korzystało z e-usług administracji, </w:t>
      </w:r>
      <w:r w:rsidR="00F972D5">
        <w:t xml:space="preserve">dla porównania w grupie wiekowej 16–59 </w:t>
      </w:r>
      <w:proofErr w:type="gramStart"/>
      <w:r w:rsidR="00F972D5">
        <w:t xml:space="preserve">lat </w:t>
      </w:r>
      <w:r w:rsidR="00E329B2">
        <w:t xml:space="preserve"> </w:t>
      </w:r>
      <w:r w:rsidR="00F972D5">
        <w:t>było</w:t>
      </w:r>
      <w:proofErr w:type="gramEnd"/>
      <w:r w:rsidR="00F972D5">
        <w:t xml:space="preserve"> to </w:t>
      </w:r>
      <w:r w:rsidR="00E329B2">
        <w:t>56,2%</w:t>
      </w:r>
      <w:r w:rsidR="00F972D5">
        <w:t>.</w:t>
      </w:r>
    </w:p>
    <w:p w14:paraId="56744973" w14:textId="5FEB6AA7" w:rsidR="00F8743D" w:rsidRPr="00580D6F" w:rsidRDefault="002311A9" w:rsidP="00580D6F">
      <w:pPr>
        <w:pStyle w:val="Nagwek1"/>
        <w:spacing w:before="600" w:after="800"/>
        <w:rPr>
          <w:sz w:val="52"/>
          <w:szCs w:val="52"/>
        </w:rPr>
      </w:pPr>
      <w:bookmarkStart w:id="5" w:name="_Toc154695895"/>
      <w:r>
        <w:rPr>
          <w:sz w:val="52"/>
          <w:szCs w:val="52"/>
        </w:rPr>
        <w:t>Zachęta a przymus</w:t>
      </w:r>
      <w:bookmarkEnd w:id="5"/>
    </w:p>
    <w:p w14:paraId="3A9183AB" w14:textId="4814CF88" w:rsidR="002311A9" w:rsidRDefault="00285A9F" w:rsidP="00E329B2">
      <w:r>
        <w:t>Analizując proces</w:t>
      </w:r>
      <w:r w:rsidR="00E329B2">
        <w:t xml:space="preserve"> cyfryzacji </w:t>
      </w:r>
      <w:r>
        <w:t xml:space="preserve">polskiej </w:t>
      </w:r>
      <w:r w:rsidR="00E329B2">
        <w:t>administracji</w:t>
      </w:r>
      <w:r>
        <w:t xml:space="preserve"> publicznej</w:t>
      </w:r>
      <w:r w:rsidR="00E329B2">
        <w:t xml:space="preserve"> można </w:t>
      </w:r>
      <w:r>
        <w:t xml:space="preserve">dostrzec zarówno </w:t>
      </w:r>
      <w:r w:rsidR="00E329B2">
        <w:t>mechanizm zachęty</w:t>
      </w:r>
      <w:r>
        <w:t>, jak i</w:t>
      </w:r>
      <w:r w:rsidR="00E329B2">
        <w:t xml:space="preserve"> mechanizm przymusu</w:t>
      </w:r>
      <w:r>
        <w:t xml:space="preserve">, a zatem przysłowiowy </w:t>
      </w:r>
      <w:r w:rsidR="00D77A24">
        <w:t>„</w:t>
      </w:r>
      <w:r>
        <w:t>kij i marchewkę</w:t>
      </w:r>
      <w:r w:rsidR="00D77A24">
        <w:t>”</w:t>
      </w:r>
      <w:r>
        <w:t>.</w:t>
      </w:r>
      <w:r w:rsidR="00E329B2">
        <w:t xml:space="preserve"> Zachęta występuje</w:t>
      </w:r>
      <w:r w:rsidR="004007EE">
        <w:t xml:space="preserve"> wtedy,</w:t>
      </w:r>
      <w:r w:rsidR="002311A9">
        <w:t xml:space="preserve"> </w:t>
      </w:r>
      <w:r w:rsidR="00E329B2">
        <w:t xml:space="preserve">gdy używanie narzędzi informatycznych w </w:t>
      </w:r>
      <w:r w:rsidR="002311A9">
        <w:t xml:space="preserve">kontaktach z administracją </w:t>
      </w:r>
      <w:r w:rsidR="00E329B2">
        <w:t xml:space="preserve">przynosi bezpośrednie korzyści, jak </w:t>
      </w:r>
      <w:r w:rsidR="002311A9">
        <w:t xml:space="preserve">np. </w:t>
      </w:r>
      <w:r w:rsidR="00E329B2">
        <w:t>szybszy zwrot nadpłaty podatku</w:t>
      </w:r>
      <w:r w:rsidR="002311A9">
        <w:t xml:space="preserve"> dochodowego</w:t>
      </w:r>
      <w:r w:rsidR="00E329B2">
        <w:t xml:space="preserve"> lub </w:t>
      </w:r>
      <w:r w:rsidR="004007EE">
        <w:t xml:space="preserve">korzyści </w:t>
      </w:r>
      <w:r w:rsidR="00E329B2">
        <w:t>pośrednie, np. przyspieszenie</w:t>
      </w:r>
      <w:r w:rsidR="00E17054">
        <w:t xml:space="preserve"> faktycznego terminu</w:t>
      </w:r>
      <w:r w:rsidR="00E329B2">
        <w:t xml:space="preserve"> załatwiania spraw</w:t>
      </w:r>
      <w:r w:rsidR="00E17054">
        <w:t>y</w:t>
      </w:r>
      <w:r w:rsidR="00E329B2">
        <w:t xml:space="preserve"> administracyj</w:t>
      </w:r>
      <w:r w:rsidR="00E17054">
        <w:t>nej, a to za sprawą „oszczędności” czasu na dokonywanie doręczeń pism urzędowych tradycyjną przesyłką pocztową</w:t>
      </w:r>
      <w:r w:rsidR="00E329B2">
        <w:t xml:space="preserve">. </w:t>
      </w:r>
      <w:r w:rsidR="002311A9">
        <w:t xml:space="preserve">Z kolei </w:t>
      </w:r>
      <w:r w:rsidR="00012C0F">
        <w:t xml:space="preserve">z </w:t>
      </w:r>
      <w:r w:rsidR="002311A9">
        <w:t>p</w:t>
      </w:r>
      <w:r w:rsidR="00E329B2">
        <w:t>rzymus</w:t>
      </w:r>
      <w:r w:rsidR="00012C0F">
        <w:t xml:space="preserve">em mamy do czynienia wtedy, </w:t>
      </w:r>
      <w:r w:rsidR="00E329B2">
        <w:t>gdy korzystanie z e-usług jest prawnym obowiązkiem</w:t>
      </w:r>
      <w:r w:rsidR="002311A9">
        <w:t xml:space="preserve"> danej osoby</w:t>
      </w:r>
      <w:r w:rsidR="00012C0F">
        <w:t xml:space="preserve"> lub jedyną „drogą” załatwienia danej sprawy</w:t>
      </w:r>
      <w:r w:rsidR="00432B53">
        <w:t xml:space="preserve"> </w:t>
      </w:r>
      <w:r w:rsidR="00D77A24">
        <w:t>administracyjnej</w:t>
      </w:r>
      <w:r w:rsidR="00432B53">
        <w:t>.</w:t>
      </w:r>
    </w:p>
    <w:p w14:paraId="75C28877" w14:textId="0D3E6707" w:rsidR="00E329B2" w:rsidRDefault="002311A9" w:rsidP="00E329B2">
      <w:r>
        <w:t>Do tej pory w</w:t>
      </w:r>
      <w:r w:rsidR="00E329B2">
        <w:t xml:space="preserve"> polskim systemie prawym </w:t>
      </w:r>
      <w:r w:rsidR="00F618D0">
        <w:t>przymusowa</w:t>
      </w:r>
      <w:r w:rsidR="00E329B2">
        <w:t xml:space="preserve"> cyfryzacja </w:t>
      </w:r>
      <w:r w:rsidR="00D77A24">
        <w:t>należała do rzadkości</w:t>
      </w:r>
      <w:r w:rsidR="00E329B2">
        <w:t xml:space="preserve"> i dotyczy</w:t>
      </w:r>
      <w:r>
        <w:t>ła</w:t>
      </w:r>
      <w:r w:rsidR="00E329B2">
        <w:t xml:space="preserve"> głównie tworzenia „cyfrowej tożsamości”</w:t>
      </w:r>
      <w:r w:rsidR="006367FD">
        <w:t xml:space="preserve"> przedsiębiorców</w:t>
      </w:r>
      <w:r w:rsidR="00A83D26">
        <w:t xml:space="preserve"> np. </w:t>
      </w:r>
      <w:r w:rsidR="00E329B2">
        <w:t xml:space="preserve">poprzez obowiązek posiadania profilu na PUE </w:t>
      </w:r>
      <w:r w:rsidR="006367FD">
        <w:t>ZUS</w:t>
      </w:r>
      <w:r w:rsidR="00F618D0">
        <w:t xml:space="preserve"> </w:t>
      </w:r>
      <w:r w:rsidR="006367FD">
        <w:t xml:space="preserve">(zob. </w:t>
      </w:r>
      <w:r w:rsidR="00E329B2">
        <w:t>art. 47b ust. 1 ustawy o systemie ubezpieczeń społecznych</w:t>
      </w:r>
      <w:r w:rsidR="006367FD">
        <w:t xml:space="preserve">) lub </w:t>
      </w:r>
      <w:r w:rsidR="006A7402">
        <w:t xml:space="preserve">wprowadzenia </w:t>
      </w:r>
      <w:r w:rsidR="00E329B2">
        <w:t>obowiązku posiadania adresu do doręczeń elektronicznych</w:t>
      </w:r>
      <w:r w:rsidR="006367FD">
        <w:t xml:space="preserve"> (zob. </w:t>
      </w:r>
      <w:r w:rsidR="00E329B2">
        <w:t>art. 9 ust. 1 ustawy o doręczeniach elektronicznych</w:t>
      </w:r>
      <w:r w:rsidR="00D77A24">
        <w:rPr>
          <w:rStyle w:val="Odwoanieprzypisudolnego"/>
        </w:rPr>
        <w:footnoteReference w:id="3"/>
      </w:r>
      <w:r w:rsidR="00D77A24">
        <w:t>).</w:t>
      </w:r>
      <w:r w:rsidR="00E329B2">
        <w:t xml:space="preserve">Warto zauważyć, że regulacje </w:t>
      </w:r>
      <w:r w:rsidR="006367FD">
        <w:t xml:space="preserve">te </w:t>
      </w:r>
      <w:r w:rsidR="00E329B2">
        <w:t xml:space="preserve">dotyczą wszystkich przedsiębiorców, zarówno </w:t>
      </w:r>
      <w:r w:rsidR="006A7402">
        <w:t>zatem</w:t>
      </w:r>
      <w:r w:rsidR="00F618D0">
        <w:t xml:space="preserve"> </w:t>
      </w:r>
      <w:r w:rsidR="00E329B2">
        <w:t>osób prawnych, jak i</w:t>
      </w:r>
      <w:r w:rsidR="00F8743D">
        <w:t> </w:t>
      </w:r>
      <w:r w:rsidR="006367FD">
        <w:t xml:space="preserve">osób </w:t>
      </w:r>
      <w:r w:rsidR="00E329B2">
        <w:t xml:space="preserve">fizycznych prowadzących działalność gospodarczą. </w:t>
      </w:r>
      <w:r w:rsidR="006A7402">
        <w:t>O</w:t>
      </w:r>
      <w:r w:rsidR="00E329B2">
        <w:t>znacza</w:t>
      </w:r>
      <w:r w:rsidR="006A7402">
        <w:t xml:space="preserve"> to</w:t>
      </w:r>
      <w:r w:rsidR="00E329B2">
        <w:t>, że osoby</w:t>
      </w:r>
      <w:r w:rsidR="00F618D0">
        <w:t xml:space="preserve"> starsze</w:t>
      </w:r>
      <w:r w:rsidR="00E329B2">
        <w:t xml:space="preserve"> wykluczone cyfrowo, które nie uzyskają wsparcia zewnętrznego, mogą mieć</w:t>
      </w:r>
      <w:r w:rsidR="00F618D0">
        <w:t xml:space="preserve"> obiektywne </w:t>
      </w:r>
      <w:r w:rsidR="00F618D0">
        <w:lastRenderedPageBreak/>
        <w:t>bariery</w:t>
      </w:r>
      <w:r w:rsidR="00E329B2">
        <w:t xml:space="preserve"> </w:t>
      </w:r>
      <w:r w:rsidR="00F618D0">
        <w:t>np. w</w:t>
      </w:r>
      <w:r w:rsidR="00E329B2">
        <w:t xml:space="preserve"> prowadzeniu </w:t>
      </w:r>
      <w:r w:rsidR="00F618D0">
        <w:t xml:space="preserve">indywidualnej </w:t>
      </w:r>
      <w:r w:rsidR="00E329B2">
        <w:t>działalności gospodarczej</w:t>
      </w:r>
      <w:r w:rsidR="00F618D0">
        <w:t xml:space="preserve">. Niestety polski ustawodawca na </w:t>
      </w:r>
      <w:r w:rsidR="00D77A24">
        <w:t xml:space="preserve">etapie </w:t>
      </w:r>
      <w:r w:rsidR="00F618D0">
        <w:t xml:space="preserve">tym się nie zatrzymał i </w:t>
      </w:r>
      <w:r w:rsidR="00D77A24">
        <w:t xml:space="preserve">w „przymusowej cyfryzacji” </w:t>
      </w:r>
      <w:r w:rsidR="00F618D0">
        <w:t>poszedł o krok dalej</w:t>
      </w:r>
      <w:r w:rsidR="00D77A24">
        <w:t xml:space="preserve">. </w:t>
      </w:r>
      <w:r w:rsidR="00F618D0">
        <w:t>Chodzi tu o tzw. ś</w:t>
      </w:r>
      <w:r w:rsidR="00F618D0" w:rsidRPr="00F618D0">
        <w:t>wiadczenia wspierając</w:t>
      </w:r>
      <w:r w:rsidR="00F618D0">
        <w:t>e</w:t>
      </w:r>
      <w:r w:rsidR="00F618D0" w:rsidRPr="00F618D0">
        <w:t xml:space="preserve"> uregulowanego ustawą z dnia 7 lipca 2023 r. o świadczeniu wspierający</w:t>
      </w:r>
      <w:r w:rsidR="00F618D0">
        <w:t>m. Zarówno wniosek o jego przyznanie, niezbędna dokumentacj</w:t>
      </w:r>
      <w:r w:rsidR="00A83D26">
        <w:t>a</w:t>
      </w:r>
      <w:r w:rsidR="00F618D0">
        <w:t xml:space="preserve">, jak również wzajemna komunikacja z </w:t>
      </w:r>
      <w:r w:rsidR="00A83D26">
        <w:t xml:space="preserve">organami administracji publicznej </w:t>
      </w:r>
      <w:r w:rsidR="00F618D0">
        <w:t xml:space="preserve">odbywać się może wyłącznie w postaci elektronicznej. </w:t>
      </w:r>
      <w:r w:rsidR="00D55A3E">
        <w:t xml:space="preserve">Regulacja ta jest o tyle bardziej </w:t>
      </w:r>
      <w:r w:rsidR="00A83D26">
        <w:t>kontrowersyjna, a wręcz krzywdząca, jeżeli spostrzeżemy</w:t>
      </w:r>
      <w:r w:rsidR="00D55A3E">
        <w:t xml:space="preserve">, że beneficjentami wskazanego świadczenia są osoby z niepełnosprawnościami, w tym osoby starsze. </w:t>
      </w:r>
      <w:r w:rsidR="00E329B2">
        <w:t>Rozwiązania te są niezgodne m.in. z</w:t>
      </w:r>
      <w:r w:rsidR="00F8743D">
        <w:t> </w:t>
      </w:r>
      <w:r w:rsidR="002C2C17">
        <w:t xml:space="preserve">tzw. </w:t>
      </w:r>
      <w:r w:rsidR="00E329B2">
        <w:t xml:space="preserve">deklaracją Tallińską, </w:t>
      </w:r>
      <w:r w:rsidR="009C137F">
        <w:t xml:space="preserve">w której </w:t>
      </w:r>
      <w:r w:rsidR="009C137F" w:rsidRPr="009C137F">
        <w:t xml:space="preserve">przyjęto tzw. zasadę domyślnej cyfrowości, </w:t>
      </w:r>
      <w:proofErr w:type="spellStart"/>
      <w:r w:rsidR="009C137F" w:rsidRPr="009C137F">
        <w:t>inkluzywności</w:t>
      </w:r>
      <w:proofErr w:type="spellEnd"/>
      <w:r w:rsidR="009C137F" w:rsidRPr="009C137F">
        <w:t xml:space="preserve"> i dostępności, a zatem: zapewnienia obywatelom i przedsiębiorstwom możliwości wyboru cyfrowego kontaktu z administracją publiczną</w:t>
      </w:r>
      <w:r w:rsidR="009C137F">
        <w:t>.</w:t>
      </w:r>
    </w:p>
    <w:p w14:paraId="3A9ACB5E" w14:textId="37774CA1" w:rsidR="00F8743D" w:rsidRPr="00580D6F" w:rsidRDefault="00F8743D" w:rsidP="00580D6F">
      <w:pPr>
        <w:pStyle w:val="Nagwek1"/>
        <w:spacing w:before="600" w:after="800"/>
        <w:rPr>
          <w:sz w:val="52"/>
          <w:szCs w:val="52"/>
        </w:rPr>
      </w:pPr>
      <w:bookmarkStart w:id="6" w:name="_Toc154695896"/>
      <w:r w:rsidRPr="00580D6F">
        <w:rPr>
          <w:sz w:val="52"/>
          <w:szCs w:val="52"/>
        </w:rPr>
        <w:t>Podsumowanie</w:t>
      </w:r>
      <w:bookmarkEnd w:id="6"/>
    </w:p>
    <w:p w14:paraId="34585447" w14:textId="5EFEDAF6" w:rsidR="00102680" w:rsidRDefault="00FB1731" w:rsidP="00102680">
      <w:r>
        <w:t>P</w:t>
      </w:r>
      <w:r w:rsidR="00F8743D">
        <w:t xml:space="preserve">rzymus cyfryzacji w obliczu danych potwierdzających istnienie </w:t>
      </w:r>
      <w:r w:rsidR="00A83D26">
        <w:t xml:space="preserve">zjawiska wykluczenia cyfrowego stanowić </w:t>
      </w:r>
      <w:r>
        <w:t xml:space="preserve">może </w:t>
      </w:r>
      <w:r w:rsidR="00D55A3E">
        <w:t>przejaw dyskryminacji pośredniej</w:t>
      </w:r>
      <w:r w:rsidR="00F8743D">
        <w:t>. Przymusowa cyfryzacja wydaje się niezgodna z podstawowymi wartościami konstytucyjnymi, w tym przede wszystkim</w:t>
      </w:r>
      <w:r w:rsidR="00A83D26">
        <w:t xml:space="preserve"> naruszać </w:t>
      </w:r>
      <w:r w:rsidR="00F8743D">
        <w:t>godnoś</w:t>
      </w:r>
      <w:r w:rsidR="00A83D26">
        <w:t xml:space="preserve">ć </w:t>
      </w:r>
      <w:r w:rsidR="00F8743D">
        <w:t>człowieka i zasad</w:t>
      </w:r>
      <w:r w:rsidR="00A83D26">
        <w:t xml:space="preserve">ę </w:t>
      </w:r>
      <w:r w:rsidR="00F8743D">
        <w:t>równości. Polityka państwa w zakresie cyfryzacji powinna motywować i zachęcać, a nie przymuszać do cyfrowych rozwiązań, ponieważ prowadzi to do dalszego wykluczenia osób już wykluczonych cyfrowo z innych obszarów życia społecznego.</w:t>
      </w:r>
      <w:r>
        <w:t xml:space="preserve"> </w:t>
      </w:r>
      <w:r w:rsidR="00580D6F">
        <w:t xml:space="preserve">W ramach podsumowania </w:t>
      </w:r>
      <w:proofErr w:type="gramStart"/>
      <w:r w:rsidR="00580D6F">
        <w:t xml:space="preserve">sformułować </w:t>
      </w:r>
      <w:r>
        <w:t xml:space="preserve"> można</w:t>
      </w:r>
      <w:proofErr w:type="gramEnd"/>
      <w:r>
        <w:t xml:space="preserve"> </w:t>
      </w:r>
      <w:r w:rsidR="00580D6F">
        <w:t xml:space="preserve">kilka rekomendacji </w:t>
      </w:r>
      <w:r>
        <w:t>w tym zakresie, a to:</w:t>
      </w:r>
    </w:p>
    <w:p w14:paraId="3EED1C86" w14:textId="77777777" w:rsidR="00580D6F" w:rsidRDefault="00580D6F" w:rsidP="00102680"/>
    <w:p w14:paraId="2EA7E2EC" w14:textId="07A8A242" w:rsidR="00580D6F" w:rsidRPr="00580D6F" w:rsidRDefault="00580D6F" w:rsidP="00C27B43">
      <w:pPr>
        <w:rPr>
          <w:b/>
          <w:bCs/>
          <w:color w:val="C00000"/>
        </w:rPr>
      </w:pPr>
      <w:r w:rsidRPr="00580D6F">
        <w:rPr>
          <w:b/>
          <w:bCs/>
          <w:color w:val="C00000"/>
        </w:rPr>
        <w:t xml:space="preserve">Wzmocnienie edukacji cyfrowej dla seniorów </w:t>
      </w:r>
    </w:p>
    <w:p w14:paraId="3AC1DF52" w14:textId="7222EB9A" w:rsidR="00580D6F" w:rsidRDefault="00580D6F" w:rsidP="00580D6F">
      <w:r>
        <w:t xml:space="preserve">Należy rozwijać i ułatwiać dostęp do programów edukacyjnych skoncentrowanych na umiejętnościach cyfrowych dla osób </w:t>
      </w:r>
      <w:r>
        <w:lastRenderedPageBreak/>
        <w:t>starszych, aby zwiększyć ich zdolność do korzystania z e-usług</w:t>
      </w:r>
      <w:r w:rsidR="00C27B43">
        <w:t xml:space="preserve"> administracji</w:t>
      </w:r>
      <w:r w:rsidR="00FB1731">
        <w:t>.</w:t>
      </w:r>
    </w:p>
    <w:p w14:paraId="3AA1268E" w14:textId="77777777" w:rsidR="00580D6F" w:rsidRDefault="00580D6F" w:rsidP="00580D6F"/>
    <w:p w14:paraId="4681A46E" w14:textId="55742771" w:rsidR="00580D6F" w:rsidRPr="00580D6F" w:rsidRDefault="00580D6F" w:rsidP="00C27B43">
      <w:pPr>
        <w:rPr>
          <w:b/>
          <w:bCs/>
          <w:color w:val="C00000"/>
        </w:rPr>
      </w:pPr>
      <w:r w:rsidRPr="00580D6F">
        <w:rPr>
          <w:b/>
          <w:bCs/>
          <w:color w:val="C00000"/>
        </w:rPr>
        <w:t>Budowanie zaufania do</w:t>
      </w:r>
      <w:r w:rsidR="00C27B43">
        <w:rPr>
          <w:b/>
          <w:bCs/>
          <w:color w:val="C00000"/>
        </w:rPr>
        <w:t xml:space="preserve"> infrastruktury technicznej administracji publicznej</w:t>
      </w:r>
      <w:r w:rsidRPr="00580D6F">
        <w:rPr>
          <w:b/>
          <w:bCs/>
          <w:color w:val="C00000"/>
        </w:rPr>
        <w:t xml:space="preserve"> </w:t>
      </w:r>
    </w:p>
    <w:p w14:paraId="5350E04A" w14:textId="5A9C38D3" w:rsidR="00580D6F" w:rsidRDefault="00580D6F" w:rsidP="00580D6F">
      <w:r>
        <w:t xml:space="preserve">Władze publiczne powinny skupić się na budowaniu zaufania do </w:t>
      </w:r>
      <w:r w:rsidR="00C27B43">
        <w:t xml:space="preserve">infrastruktury technicznej </w:t>
      </w:r>
      <w:r>
        <w:t>e-usług</w:t>
      </w:r>
      <w:r w:rsidR="00C27B43">
        <w:t xml:space="preserve"> administracji, tj. dbać o jej jakość i sprawność działania. Obywatel nigdy nie powinien ponosić negatywnych konsekwencji awarii infrastruktury podmiotów publicznych.</w:t>
      </w:r>
    </w:p>
    <w:p w14:paraId="60B95464" w14:textId="77777777" w:rsidR="00580D6F" w:rsidRDefault="00580D6F" w:rsidP="00580D6F"/>
    <w:p w14:paraId="530BE326" w14:textId="6574D08E" w:rsidR="00580D6F" w:rsidRPr="00580D6F" w:rsidRDefault="00C27B43" w:rsidP="00C27B43">
      <w:pPr>
        <w:rPr>
          <w:b/>
          <w:bCs/>
          <w:color w:val="C00000"/>
        </w:rPr>
      </w:pPr>
      <w:r>
        <w:rPr>
          <w:b/>
          <w:bCs/>
          <w:color w:val="C00000"/>
        </w:rPr>
        <w:t>Prosty i intuicyjny interfejs</w:t>
      </w:r>
    </w:p>
    <w:p w14:paraId="40E7748B" w14:textId="38C80043" w:rsidR="00580D6F" w:rsidRDefault="00C27B43" w:rsidP="00580D6F">
      <w:r>
        <w:t xml:space="preserve">Rekomenduje się tworzenie prostych i intuicyjnych w obsłudze platform cyfrowych oraz zapewnienie </w:t>
      </w:r>
      <w:r w:rsidR="00580D6F">
        <w:t>wsparcia technicznego</w:t>
      </w:r>
      <w:r>
        <w:t>.</w:t>
      </w:r>
    </w:p>
    <w:p w14:paraId="0A6EC7C6" w14:textId="77777777" w:rsidR="00580D6F" w:rsidRPr="00580D6F" w:rsidRDefault="00580D6F" w:rsidP="00580D6F">
      <w:pPr>
        <w:rPr>
          <w:color w:val="C00000"/>
        </w:rPr>
      </w:pPr>
    </w:p>
    <w:p w14:paraId="1DC6E2E1" w14:textId="4AE6C641" w:rsidR="00580D6F" w:rsidRPr="00580D6F" w:rsidRDefault="00580D6F" w:rsidP="00C27B43">
      <w:pPr>
        <w:rPr>
          <w:b/>
          <w:bCs/>
          <w:color w:val="C00000"/>
        </w:rPr>
      </w:pPr>
      <w:r w:rsidRPr="00580D6F">
        <w:rPr>
          <w:b/>
          <w:bCs/>
          <w:color w:val="C00000"/>
        </w:rPr>
        <w:t xml:space="preserve">Zachowanie opcji </w:t>
      </w:r>
      <w:proofErr w:type="spellStart"/>
      <w:r w:rsidRPr="00580D6F">
        <w:rPr>
          <w:b/>
          <w:bCs/>
          <w:color w:val="C00000"/>
        </w:rPr>
        <w:t>niecyfrowych</w:t>
      </w:r>
      <w:proofErr w:type="spellEnd"/>
    </w:p>
    <w:p w14:paraId="548CFCD0" w14:textId="1CAC2DE1" w:rsidR="00580D6F" w:rsidRDefault="00580D6F" w:rsidP="00580D6F">
      <w:r>
        <w:t xml:space="preserve">Władze powinny zagwarantować, że osoby starsze, które nie mogą lub nie chcą korzystać z e-usług, mają dostęp do tradycyjnych, </w:t>
      </w:r>
      <w:proofErr w:type="spellStart"/>
      <w:r>
        <w:t>niecyfrowych</w:t>
      </w:r>
      <w:proofErr w:type="spellEnd"/>
      <w:r>
        <w:t xml:space="preserve"> form kontaktu z administracją publiczną. </w:t>
      </w:r>
      <w:r w:rsidR="000E5F99">
        <w:t xml:space="preserve"> </w:t>
      </w:r>
      <w:r>
        <w:t xml:space="preserve">Przepisy prawne nie powinny prowadzić do dyskryminacji osób wykluczonych cyfrowo. </w:t>
      </w:r>
    </w:p>
    <w:p w14:paraId="3D80DE2D" w14:textId="77777777" w:rsidR="000E5F99" w:rsidRDefault="000E5F99" w:rsidP="000E5F99"/>
    <w:p w14:paraId="5AE9579E" w14:textId="29C674F0" w:rsidR="00580D6F" w:rsidRPr="00580D6F" w:rsidRDefault="00580D6F" w:rsidP="000E5F99">
      <w:pPr>
        <w:rPr>
          <w:color w:val="C00000"/>
        </w:rPr>
      </w:pPr>
      <w:r w:rsidRPr="00580D6F">
        <w:rPr>
          <w:b/>
          <w:bCs/>
          <w:color w:val="C00000"/>
        </w:rPr>
        <w:t>Zachęcanie do użytkowania e-usług</w:t>
      </w:r>
    </w:p>
    <w:p w14:paraId="2C58E64F" w14:textId="5483AF4F" w:rsidR="00580D6F" w:rsidRDefault="00580D6F" w:rsidP="00580D6F">
      <w:r>
        <w:t>Zamiast przymusu, państwo powinno stosować strategie zachęcające i motywujące osoby starsze do korzystania z e-usług, jednocześnie zapewniając wsparcie i pomoc w ich użytkowaniu.</w:t>
      </w:r>
    </w:p>
    <w:p w14:paraId="69F2BD06" w14:textId="77777777" w:rsidR="00102680" w:rsidRDefault="00102680" w:rsidP="00102680"/>
    <w:sectPr w:rsidR="00102680" w:rsidSect="0033169A"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95FF" w14:textId="77777777" w:rsidR="006668F7" w:rsidRDefault="006668F7">
      <w:pPr>
        <w:spacing w:after="0" w:line="240" w:lineRule="auto"/>
      </w:pPr>
      <w:r>
        <w:separator/>
      </w:r>
    </w:p>
  </w:endnote>
  <w:endnote w:type="continuationSeparator" w:id="0">
    <w:p w14:paraId="13832426" w14:textId="77777777" w:rsidR="006668F7" w:rsidRDefault="0066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35235" w14:textId="77777777" w:rsidR="009E4642" w:rsidRDefault="00816F0E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4EB9" w14:textId="5ED75EDE" w:rsidR="00D355AE" w:rsidRDefault="00D355AE">
    <w:pPr>
      <w:pStyle w:val="Stopka"/>
    </w:pPr>
    <w:r w:rsidRPr="00D355AE">
      <w:rPr>
        <w:noProof/>
      </w:rPr>
      <w:drawing>
        <wp:anchor distT="0" distB="0" distL="114300" distR="114300" simplePos="0" relativeHeight="251661312" behindDoc="0" locked="0" layoutInCell="1" allowOverlap="1" wp14:anchorId="21051E0C" wp14:editId="605DF6D6">
          <wp:simplePos x="0" y="0"/>
          <wp:positionH relativeFrom="column">
            <wp:posOffset>4227830</wp:posOffset>
          </wp:positionH>
          <wp:positionV relativeFrom="paragraph">
            <wp:posOffset>-44450</wp:posOffset>
          </wp:positionV>
          <wp:extent cx="2023110" cy="652145"/>
          <wp:effectExtent l="0" t="0" r="0" b="0"/>
          <wp:wrapNone/>
          <wp:docPr id="8" name="Obraz 3">
            <a:extLst xmlns:a="http://schemas.openxmlformats.org/drawingml/2006/main">
              <a:ext uri="{FF2B5EF4-FFF2-40B4-BE49-F238E27FC236}">
                <a16:creationId xmlns:a16="http://schemas.microsoft.com/office/drawing/2014/main" id="{B437C296-F9C8-A348-CF17-AAFE945040DA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>
                    <a:extLst>
                      <a:ext uri="{FF2B5EF4-FFF2-40B4-BE49-F238E27FC236}">
                        <a16:creationId xmlns:a16="http://schemas.microsoft.com/office/drawing/2014/main" id="{B437C296-F9C8-A348-CF17-AAFE945040DA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60288" behindDoc="0" locked="0" layoutInCell="1" allowOverlap="1" wp14:anchorId="7941201B" wp14:editId="6D8D4A08">
          <wp:simplePos x="0" y="0"/>
          <wp:positionH relativeFrom="column">
            <wp:posOffset>1554480</wp:posOffset>
          </wp:positionH>
          <wp:positionV relativeFrom="paragraph">
            <wp:posOffset>-37465</wp:posOffset>
          </wp:positionV>
          <wp:extent cx="2221230" cy="652145"/>
          <wp:effectExtent l="0" t="0" r="0" b="0"/>
          <wp:wrapNone/>
          <wp:docPr id="5" name="Obraz 2">
            <a:extLst xmlns:a="http://schemas.openxmlformats.org/drawingml/2006/main">
              <a:ext uri="{FF2B5EF4-FFF2-40B4-BE49-F238E27FC236}">
                <a16:creationId xmlns:a16="http://schemas.microsoft.com/office/drawing/2014/main" id="{99BAED20-6842-B7DB-8E17-81F2C74AA23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>
                    <a:extLst>
                      <a:ext uri="{FF2B5EF4-FFF2-40B4-BE49-F238E27FC236}">
                        <a16:creationId xmlns:a16="http://schemas.microsoft.com/office/drawing/2014/main" id="{99BAED20-6842-B7DB-8E17-81F2C74AA230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59264" behindDoc="0" locked="0" layoutInCell="1" allowOverlap="1" wp14:anchorId="329628A6" wp14:editId="2263E678">
          <wp:simplePos x="0" y="0"/>
          <wp:positionH relativeFrom="column">
            <wp:posOffset>-989584</wp:posOffset>
          </wp:positionH>
          <wp:positionV relativeFrom="paragraph">
            <wp:posOffset>-44259</wp:posOffset>
          </wp:positionV>
          <wp:extent cx="1748162" cy="652229"/>
          <wp:effectExtent l="0" t="0" r="0" b="0"/>
          <wp:wrapNone/>
          <wp:docPr id="4" name="Obraz 1">
            <a:extLst xmlns:a="http://schemas.openxmlformats.org/drawingml/2006/main">
              <a:ext uri="{FF2B5EF4-FFF2-40B4-BE49-F238E27FC236}">
                <a16:creationId xmlns:a16="http://schemas.microsoft.com/office/drawing/2014/main" id="{58FF6316-21DA-6864-73CE-50B30247D9A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>
                    <a:extLst>
                      <a:ext uri="{FF2B5EF4-FFF2-40B4-BE49-F238E27FC236}">
                        <a16:creationId xmlns:a16="http://schemas.microsoft.com/office/drawing/2014/main" id="{58FF6316-21DA-6864-73CE-50B30247D9A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62" cy="65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88E0" w14:textId="77777777" w:rsidR="006668F7" w:rsidRDefault="006668F7">
      <w:pPr>
        <w:spacing w:after="0" w:line="240" w:lineRule="auto"/>
      </w:pPr>
      <w:r>
        <w:separator/>
      </w:r>
    </w:p>
  </w:footnote>
  <w:footnote w:type="continuationSeparator" w:id="0">
    <w:p w14:paraId="5955B266" w14:textId="77777777" w:rsidR="006668F7" w:rsidRDefault="006668F7">
      <w:pPr>
        <w:spacing w:after="0" w:line="240" w:lineRule="auto"/>
      </w:pPr>
      <w:r>
        <w:continuationSeparator/>
      </w:r>
    </w:p>
  </w:footnote>
  <w:footnote w:id="1">
    <w:p w14:paraId="6DC305B3" w14:textId="3EAA6C80" w:rsidR="00D77A24" w:rsidRDefault="00D77A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7A24">
        <w:t>CBOS</w:t>
      </w:r>
      <w:r w:rsidRPr="00D77A24">
        <w:rPr>
          <w:i/>
          <w:iCs/>
        </w:rPr>
        <w:t>, Komunikat z badań, Korzystanie z Internetu w 2022 roku</w:t>
      </w:r>
      <w:r w:rsidRPr="00D77A24">
        <w:t xml:space="preserve">, 2022, nr 77, passim. Zob. </w:t>
      </w:r>
      <w:hyperlink r:id="rId1" w:history="1">
        <w:r w:rsidRPr="00D77A24">
          <w:rPr>
            <w:rStyle w:val="Hipercze"/>
          </w:rPr>
          <w:t>https://www.cbos.pl/SPISKOM.POL/2022/K_077_22.PDF</w:t>
        </w:r>
      </w:hyperlink>
      <w:r w:rsidRPr="00D77A24">
        <w:t>; dostęp: 17.06.2023 r.</w:t>
      </w:r>
    </w:p>
  </w:footnote>
  <w:footnote w:id="2">
    <w:p w14:paraId="4D8B4C0D" w14:textId="49F3B4F1" w:rsidR="00D77A24" w:rsidRDefault="00D77A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7A24">
        <w:t>GUS, Sytuacja osób starszych w Polsce w 2021 r., Warszawa – Białystok 2022, s. 64 (</w:t>
      </w:r>
      <w:hyperlink r:id="rId2" w:history="1">
        <w:r w:rsidRPr="00D77A24">
          <w:rPr>
            <w:rStyle w:val="Hipercze"/>
          </w:rPr>
          <w:t>https://stat.gov.pl/obszary-tematyczne/osoby-starsze/osoby-starsze/sytuacja-osob-starszych-w-polsce-w-2021-roku,2,4.html</w:t>
        </w:r>
      </w:hyperlink>
      <w:r w:rsidRPr="00D77A24">
        <w:t xml:space="preserve"> ; dostęp: 18.06.2023 r.).</w:t>
      </w:r>
    </w:p>
  </w:footnote>
  <w:footnote w:id="3">
    <w:p w14:paraId="4E01B2C3" w14:textId="0963BFEB" w:rsidR="00D77A24" w:rsidRDefault="00D77A24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>
        <w:t>brew wcześniejszym zamierzeniom aktualizacja tego obowiązku nie nastąpiła jednak w 2023 r., a okres jego wdrożenia został wydłużony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F3F0" w14:textId="2E309A0D" w:rsidR="00D355AE" w:rsidRDefault="008C1765" w:rsidP="00284055">
    <w:pPr>
      <w:pStyle w:val="Nagwek"/>
      <w:jc w:val="center"/>
    </w:pPr>
    <w:r w:rsidRPr="008C1765">
      <w:rPr>
        <w:noProof/>
      </w:rPr>
      <w:drawing>
        <wp:inline distT="0" distB="0" distL="0" distR="0" wp14:anchorId="3C4572F4" wp14:editId="1F551BEF">
          <wp:extent cx="5093091" cy="1242770"/>
          <wp:effectExtent l="0" t="0" r="0" b="1905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873" cy="126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072BB"/>
    <w:multiLevelType w:val="hybridMultilevel"/>
    <w:tmpl w:val="6CDA4470"/>
    <w:lvl w:ilvl="0" w:tplc="F13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2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0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2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60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4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04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4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CF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804354"/>
    <w:multiLevelType w:val="hybridMultilevel"/>
    <w:tmpl w:val="3794B618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3BC3"/>
    <w:multiLevelType w:val="hybridMultilevel"/>
    <w:tmpl w:val="FB6AD80A"/>
    <w:lvl w:ilvl="0" w:tplc="7EEE0B26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45D24"/>
    <w:multiLevelType w:val="hybridMultilevel"/>
    <w:tmpl w:val="E8E8C548"/>
    <w:lvl w:ilvl="0" w:tplc="E034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2B4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4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C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A8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E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EA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B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874534A"/>
    <w:multiLevelType w:val="hybridMultilevel"/>
    <w:tmpl w:val="0CA2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34274"/>
    <w:multiLevelType w:val="hybridMultilevel"/>
    <w:tmpl w:val="28DC00DE"/>
    <w:lvl w:ilvl="0" w:tplc="08B453DE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89846">
    <w:abstractNumId w:val="9"/>
  </w:num>
  <w:num w:numId="2" w16cid:durableId="841968185">
    <w:abstractNumId w:val="12"/>
  </w:num>
  <w:num w:numId="3" w16cid:durableId="1541821109">
    <w:abstractNumId w:val="12"/>
  </w:num>
  <w:num w:numId="4" w16cid:durableId="345835766">
    <w:abstractNumId w:val="12"/>
  </w:num>
  <w:num w:numId="5" w16cid:durableId="1497719792">
    <w:abstractNumId w:val="12"/>
  </w:num>
  <w:num w:numId="6" w16cid:durableId="1723867202">
    <w:abstractNumId w:val="8"/>
  </w:num>
  <w:num w:numId="7" w16cid:durableId="770393810">
    <w:abstractNumId w:val="16"/>
  </w:num>
  <w:num w:numId="8" w16cid:durableId="414329182">
    <w:abstractNumId w:val="7"/>
  </w:num>
  <w:num w:numId="9" w16cid:durableId="1422599415">
    <w:abstractNumId w:val="6"/>
  </w:num>
  <w:num w:numId="10" w16cid:durableId="1017000651">
    <w:abstractNumId w:val="5"/>
  </w:num>
  <w:num w:numId="11" w16cid:durableId="313339129">
    <w:abstractNumId w:val="4"/>
  </w:num>
  <w:num w:numId="12" w16cid:durableId="2122454483">
    <w:abstractNumId w:val="3"/>
  </w:num>
  <w:num w:numId="13" w16cid:durableId="468980742">
    <w:abstractNumId w:val="2"/>
  </w:num>
  <w:num w:numId="14" w16cid:durableId="159469307">
    <w:abstractNumId w:val="1"/>
  </w:num>
  <w:num w:numId="15" w16cid:durableId="703167829">
    <w:abstractNumId w:val="0"/>
  </w:num>
  <w:num w:numId="16" w16cid:durableId="889344446">
    <w:abstractNumId w:val="13"/>
  </w:num>
  <w:num w:numId="17" w16cid:durableId="834222573">
    <w:abstractNumId w:val="16"/>
  </w:num>
  <w:num w:numId="18" w16cid:durableId="726685999">
    <w:abstractNumId w:val="11"/>
  </w:num>
  <w:num w:numId="19" w16cid:durableId="276644214">
    <w:abstractNumId w:val="15"/>
  </w:num>
  <w:num w:numId="20" w16cid:durableId="2145460907">
    <w:abstractNumId w:val="16"/>
  </w:num>
  <w:num w:numId="21" w16cid:durableId="597758269">
    <w:abstractNumId w:val="16"/>
  </w:num>
  <w:num w:numId="22" w16cid:durableId="1857041394">
    <w:abstractNumId w:val="16"/>
  </w:num>
  <w:num w:numId="23" w16cid:durableId="1082871393">
    <w:abstractNumId w:val="16"/>
  </w:num>
  <w:num w:numId="24" w16cid:durableId="2014648638">
    <w:abstractNumId w:val="16"/>
  </w:num>
  <w:num w:numId="25" w16cid:durableId="17199636">
    <w:abstractNumId w:val="14"/>
  </w:num>
  <w:num w:numId="26" w16cid:durableId="471097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F"/>
    <w:rsid w:val="00012C0F"/>
    <w:rsid w:val="0003173B"/>
    <w:rsid w:val="00066954"/>
    <w:rsid w:val="000824CE"/>
    <w:rsid w:val="000834BA"/>
    <w:rsid w:val="00094595"/>
    <w:rsid w:val="000A6A69"/>
    <w:rsid w:val="000B4BB8"/>
    <w:rsid w:val="000C60EA"/>
    <w:rsid w:val="000E35E6"/>
    <w:rsid w:val="000E5F99"/>
    <w:rsid w:val="00102680"/>
    <w:rsid w:val="00115226"/>
    <w:rsid w:val="001157CF"/>
    <w:rsid w:val="00116BA5"/>
    <w:rsid w:val="0014565A"/>
    <w:rsid w:val="00157F7F"/>
    <w:rsid w:val="00163CA2"/>
    <w:rsid w:val="001668A8"/>
    <w:rsid w:val="00172FC9"/>
    <w:rsid w:val="0019684B"/>
    <w:rsid w:val="001979D7"/>
    <w:rsid w:val="001A3B9A"/>
    <w:rsid w:val="001F249B"/>
    <w:rsid w:val="002129F2"/>
    <w:rsid w:val="00215D77"/>
    <w:rsid w:val="0022439B"/>
    <w:rsid w:val="002311A9"/>
    <w:rsid w:val="00284055"/>
    <w:rsid w:val="00285A9F"/>
    <w:rsid w:val="00292BF9"/>
    <w:rsid w:val="002965DC"/>
    <w:rsid w:val="002C2C17"/>
    <w:rsid w:val="002D37CF"/>
    <w:rsid w:val="002D47F0"/>
    <w:rsid w:val="002D4B8B"/>
    <w:rsid w:val="00306555"/>
    <w:rsid w:val="00313D15"/>
    <w:rsid w:val="003257B6"/>
    <w:rsid w:val="0033169A"/>
    <w:rsid w:val="003C1A4C"/>
    <w:rsid w:val="003C6DEB"/>
    <w:rsid w:val="003D56B7"/>
    <w:rsid w:val="003F157D"/>
    <w:rsid w:val="004007EE"/>
    <w:rsid w:val="00432B53"/>
    <w:rsid w:val="00440C7E"/>
    <w:rsid w:val="004A66BE"/>
    <w:rsid w:val="004C7724"/>
    <w:rsid w:val="004D64AB"/>
    <w:rsid w:val="004E531A"/>
    <w:rsid w:val="0051303B"/>
    <w:rsid w:val="00513676"/>
    <w:rsid w:val="00542D75"/>
    <w:rsid w:val="005467BE"/>
    <w:rsid w:val="005515B7"/>
    <w:rsid w:val="005612F4"/>
    <w:rsid w:val="00577B7F"/>
    <w:rsid w:val="00580D6F"/>
    <w:rsid w:val="00584B01"/>
    <w:rsid w:val="00635BA2"/>
    <w:rsid w:val="006367FD"/>
    <w:rsid w:val="006668F7"/>
    <w:rsid w:val="006A46BF"/>
    <w:rsid w:val="006A7402"/>
    <w:rsid w:val="006B1D1E"/>
    <w:rsid w:val="006C133E"/>
    <w:rsid w:val="0076495D"/>
    <w:rsid w:val="0077563F"/>
    <w:rsid w:val="007A4C7F"/>
    <w:rsid w:val="007E38DC"/>
    <w:rsid w:val="007E5D85"/>
    <w:rsid w:val="0081596C"/>
    <w:rsid w:val="00816F0E"/>
    <w:rsid w:val="0082074F"/>
    <w:rsid w:val="008215AF"/>
    <w:rsid w:val="008701DA"/>
    <w:rsid w:val="008B27C2"/>
    <w:rsid w:val="008B2DB5"/>
    <w:rsid w:val="008C1765"/>
    <w:rsid w:val="008C1B24"/>
    <w:rsid w:val="008C2C4F"/>
    <w:rsid w:val="00956B77"/>
    <w:rsid w:val="00961273"/>
    <w:rsid w:val="009673E2"/>
    <w:rsid w:val="00976199"/>
    <w:rsid w:val="009C137F"/>
    <w:rsid w:val="009C1D6B"/>
    <w:rsid w:val="009D47CA"/>
    <w:rsid w:val="009E4642"/>
    <w:rsid w:val="009F159B"/>
    <w:rsid w:val="00A27DCC"/>
    <w:rsid w:val="00A53779"/>
    <w:rsid w:val="00A83D26"/>
    <w:rsid w:val="00AE0B9F"/>
    <w:rsid w:val="00AE233F"/>
    <w:rsid w:val="00AF1019"/>
    <w:rsid w:val="00AF3720"/>
    <w:rsid w:val="00B42DD6"/>
    <w:rsid w:val="00B832D7"/>
    <w:rsid w:val="00C002BD"/>
    <w:rsid w:val="00C27B43"/>
    <w:rsid w:val="00CD529D"/>
    <w:rsid w:val="00CE5013"/>
    <w:rsid w:val="00CF037E"/>
    <w:rsid w:val="00D03E2A"/>
    <w:rsid w:val="00D07005"/>
    <w:rsid w:val="00D13AD7"/>
    <w:rsid w:val="00D355AE"/>
    <w:rsid w:val="00D55A3E"/>
    <w:rsid w:val="00D646AF"/>
    <w:rsid w:val="00D77A24"/>
    <w:rsid w:val="00D82B77"/>
    <w:rsid w:val="00D86129"/>
    <w:rsid w:val="00D937E4"/>
    <w:rsid w:val="00DB3119"/>
    <w:rsid w:val="00DE33B7"/>
    <w:rsid w:val="00DE4A7C"/>
    <w:rsid w:val="00DE5E78"/>
    <w:rsid w:val="00E17054"/>
    <w:rsid w:val="00E329B2"/>
    <w:rsid w:val="00E85059"/>
    <w:rsid w:val="00E9361F"/>
    <w:rsid w:val="00E94551"/>
    <w:rsid w:val="00EB7A44"/>
    <w:rsid w:val="00EC423C"/>
    <w:rsid w:val="00ED6290"/>
    <w:rsid w:val="00F20D70"/>
    <w:rsid w:val="00F44A17"/>
    <w:rsid w:val="00F618D0"/>
    <w:rsid w:val="00F8743D"/>
    <w:rsid w:val="00F972D5"/>
    <w:rsid w:val="00FB1731"/>
    <w:rsid w:val="00FD5C20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C4240"/>
  <w15:chartTrackingRefBased/>
  <w15:docId w15:val="{C9E8D8CF-DA64-C542-AC8A-FE9D86A4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pl-PL" w:eastAsia="ja-JP" w:bidi="pl-P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F0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punktowana">
    <w:name w:val="List Bullet"/>
    <w:basedOn w:val="Normalny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ytatZnak">
    <w:name w:val="Cytat Znak"/>
    <w:basedOn w:val="Domylnaczcionkaakapitu"/>
    <w:link w:val="Cytat"/>
    <w:uiPriority w:val="10"/>
    <w:rPr>
      <w:b/>
      <w:iCs/>
      <w:color w:val="F75952" w:themeColor="accent1"/>
      <w:sz w:val="54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Uwydatnienie">
    <w:name w:val="Emphasis"/>
    <w:basedOn w:val="Domylnaczcionkaakapitu"/>
    <w:uiPriority w:val="10"/>
    <w:qFormat/>
    <w:rPr>
      <w:b w:val="0"/>
      <w:i w:val="0"/>
      <w:iCs/>
      <w:color w:val="F7595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F75952" w:themeColor="accent1"/>
      <w:sz w:val="54"/>
    </w:rPr>
  </w:style>
  <w:style w:type="paragraph" w:styleId="Akapitzlist">
    <w:name w:val="List Paragraph"/>
    <w:basedOn w:val="Normalny"/>
    <w:uiPriority w:val="34"/>
    <w:unhideWhenUsed/>
    <w:qFormat/>
    <w:pPr>
      <w:contextualSpacing/>
    </w:pPr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qFormat/>
    <w:pPr>
      <w:spacing w:after="1320"/>
      <w:outlineLvl w:val="9"/>
    </w:p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StopkaZnak">
    <w:name w:val="Stopka Znak"/>
    <w:basedOn w:val="Domylnaczcionkaakapitu"/>
    <w:link w:val="Stopka"/>
    <w:uiPriority w:val="99"/>
    <w:rPr>
      <w:b/>
      <w:color w:val="F75952" w:themeColor="accent1"/>
      <w:sz w:val="38"/>
      <w:szCs w:val="3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Pogrubienie">
    <w:name w:val="Strong"/>
    <w:basedOn w:val="Domylnaczcionkaakapitu"/>
    <w:uiPriority w:val="8"/>
    <w:semiHidden/>
    <w:unhideWhenUsed/>
    <w:qFormat/>
    <w:rPr>
      <w:b/>
      <w:bCs/>
      <w:color w:val="3E3E3E" w:themeColor="text2" w:themeTint="E6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F5F5F" w:themeColor="text2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ytu">
    <w:name w:val="Title"/>
    <w:basedOn w:val="Normalny"/>
    <w:next w:val="Podtytu"/>
    <w:link w:val="TytuZnak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Podtytu">
    <w:name w:val="Subtitle"/>
    <w:basedOn w:val="Normalny"/>
    <w:next w:val="Autor"/>
    <w:link w:val="PodtytuZnak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pPr>
      <w:spacing w:before="120" w:after="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spacing w:before="120" w:after="0"/>
      <w:ind w:left="240"/>
    </w:pPr>
    <w:rPr>
      <w:b/>
      <w:bCs/>
      <w:sz w:val="22"/>
      <w:szCs w:val="22"/>
    </w:rPr>
  </w:style>
  <w:style w:type="table" w:customStyle="1" w:styleId="Generaltable">
    <w:name w:val="General table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ny"/>
    <w:uiPriority w:val="3"/>
    <w:qFormat/>
    <w:pPr>
      <w:spacing w:after="0"/>
    </w:pPr>
    <w:rPr>
      <w:b/>
      <w:color w:val="2A2A2A" w:themeColor="text2"/>
      <w:sz w:val="30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Listanumerowana">
    <w:name w:val="List Number"/>
    <w:basedOn w:val="Normalny"/>
    <w:uiPriority w:val="13"/>
    <w:qFormat/>
    <w:pPr>
      <w:numPr>
        <w:numId w:val="16"/>
      </w:numPr>
    </w:pPr>
    <w:rPr>
      <w:i/>
    </w:rPr>
  </w:style>
  <w:style w:type="character" w:styleId="Hipercze">
    <w:name w:val="Hyperlink"/>
    <w:basedOn w:val="Domylnaczcionkaakapitu"/>
    <w:uiPriority w:val="99"/>
    <w:unhideWhenUsed/>
    <w:rsid w:val="00B832D7"/>
    <w:rPr>
      <w:color w:val="B67A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2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B4BB8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F3720"/>
    <w:pPr>
      <w:spacing w:after="0"/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F3720"/>
    <w:pPr>
      <w:spacing w:after="0"/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F3720"/>
    <w:pPr>
      <w:spacing w:after="0"/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F3720"/>
    <w:pPr>
      <w:spacing w:after="0"/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F3720"/>
    <w:pPr>
      <w:spacing w:after="0"/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F3720"/>
    <w:pPr>
      <w:spacing w:after="0"/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F3720"/>
    <w:pPr>
      <w:spacing w:after="0"/>
      <w:ind w:left="1920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088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67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372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.gov.pl/obszary-tematyczne/osoby-starsze/osoby-starsze/sytuacja-osob-starszych-w-polsce-w-2021-roku,2,4.html" TargetMode="External"/><Relationship Id="rId1" Type="http://schemas.openxmlformats.org/officeDocument/2006/relationships/hyperlink" Target="https://www.cbos.pl/SPISKOM.POL/2022/K_077_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inkocor/Library/Containers/com.microsoft.Word/Data/Library/Application%20Support/Microsoft/Office/16.0/DTS/pl-PL%7b4C51B2CD-5B09-9F4B-A8E4-310880A8EEE5%7d/%7bEE408DD1-7BDC-DA4A-ABAB-303611473472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F262BC0-24BC-3143-B96F-C1561F694A32}">
  <we:reference id="wa104379997" version="1.0.0.1" store="pl-PL" storeType="OMEX"/>
  <we:alternateReferences>
    <we:reference id="wa104379997" version="1.0.0.1" store="wa104379997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9B144F8-67AF-8C42-83AA-19F5929F11CE}">
  <we:reference id="wa104178141" version="4.3.3.0" store="pl-PL" storeType="OMEX"/>
  <we:alternateReferences>
    <we:reference id="WA104178141" version="4.3.3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83F78-D6DD-40BF-8378-BF9DFDAC29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{EE408DD1-7BDC-DA4A-ABAB-303611473472}tf10002071.dotx</Template>
  <TotalTime>112</TotalTime>
  <Pages>8</Pages>
  <Words>1421</Words>
  <Characters>8531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Kocór</dc:creator>
  <cp:keywords/>
  <dc:description/>
  <cp:lastModifiedBy>Agata Cebera</cp:lastModifiedBy>
  <cp:revision>28</cp:revision>
  <dcterms:created xsi:type="dcterms:W3CDTF">2023-12-28T15:56:00Z</dcterms:created>
  <dcterms:modified xsi:type="dcterms:W3CDTF">2023-12-28T21:49:00Z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</Properties>
</file>