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AF002" w14:textId="0C6B7E65" w:rsidR="00AE0B9F" w:rsidRPr="003F682F" w:rsidRDefault="006F1B62" w:rsidP="00AE0B9F">
      <w:pPr>
        <w:pStyle w:val="Tytu"/>
        <w:ind w:right="-57"/>
        <w:rPr>
          <w:color w:val="5F5F5F" w:themeColor="text2" w:themeTint="BF"/>
          <w:sz w:val="48"/>
          <w:szCs w:val="48"/>
        </w:rPr>
      </w:pPr>
      <w:r w:rsidRPr="003F682F">
        <w:rPr>
          <w:color w:val="5F5F5F" w:themeColor="text2" w:themeTint="BF"/>
          <w:sz w:val="48"/>
          <w:szCs w:val="48"/>
        </w:rPr>
        <w:t xml:space="preserve">Rola Pracodawców w Tworzeniu Programów Studiów </w:t>
      </w:r>
      <w:r w:rsidR="00E33E50" w:rsidRPr="003F682F">
        <w:rPr>
          <w:color w:val="5F5F5F" w:themeColor="text2" w:themeTint="BF"/>
          <w:sz w:val="48"/>
          <w:szCs w:val="48"/>
        </w:rPr>
        <w:t xml:space="preserve">a rynek pracy osób </w:t>
      </w:r>
      <w:r w:rsidRPr="003F682F">
        <w:rPr>
          <w:color w:val="5F5F5F" w:themeColor="text2" w:themeTint="BF"/>
          <w:sz w:val="48"/>
          <w:szCs w:val="48"/>
        </w:rPr>
        <w:t>z Niepełnosprawnościami</w:t>
      </w:r>
    </w:p>
    <w:p w14:paraId="1C01003D" w14:textId="0FA7758C" w:rsidR="009E4642" w:rsidRPr="003F682F" w:rsidRDefault="006F1B62" w:rsidP="00B832D7">
      <w:pPr>
        <w:jc w:val="center"/>
        <w:rPr>
          <w:caps/>
        </w:rPr>
      </w:pPr>
      <w:r w:rsidRPr="003F682F">
        <w:rPr>
          <w:caps/>
          <w:noProof/>
        </w:rPr>
        <w:drawing>
          <wp:inline distT="0" distB="0" distL="0" distR="0" wp14:anchorId="26554331" wp14:editId="79477FD7">
            <wp:extent cx="5274945" cy="3512820"/>
            <wp:effectExtent l="0" t="0" r="0" b="5080"/>
            <wp:docPr id="60541170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41170" name="Obraz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205F0" w14:textId="77777777" w:rsidR="00B832D7" w:rsidRPr="003F682F" w:rsidRDefault="00B832D7" w:rsidP="00B832D7">
      <w:pPr>
        <w:pStyle w:val="Autor"/>
        <w:jc w:val="right"/>
        <w:rPr>
          <w:color w:val="5F5F5F" w:themeColor="text2" w:themeTint="BF"/>
        </w:rPr>
      </w:pPr>
    </w:p>
    <w:p w14:paraId="6D72E1F9" w14:textId="394F73F8" w:rsidR="009E4642" w:rsidRPr="003F682F" w:rsidRDefault="00FF467F" w:rsidP="009D47CA">
      <w:pPr>
        <w:pStyle w:val="Autor"/>
        <w:rPr>
          <w:color w:val="5F5F5F" w:themeColor="text2" w:themeTint="BF"/>
        </w:rPr>
      </w:pPr>
      <w:r w:rsidRPr="003F682F">
        <w:rPr>
          <w:color w:val="5F5F5F" w:themeColor="text2" w:themeTint="BF"/>
        </w:rPr>
        <w:t>Agata Cebera</w:t>
      </w:r>
    </w:p>
    <w:p w14:paraId="07EEDF8C" w14:textId="6567B06B" w:rsidR="00E33E50" w:rsidRPr="003F682F" w:rsidRDefault="00E33E50" w:rsidP="009D47CA">
      <w:pPr>
        <w:pStyle w:val="Autor"/>
        <w:rPr>
          <w:color w:val="5F5F5F" w:themeColor="text2" w:themeTint="BF"/>
        </w:rPr>
      </w:pPr>
      <w:r w:rsidRPr="003F682F">
        <w:rPr>
          <w:color w:val="5F5F5F" w:themeColor="text2" w:themeTint="BF"/>
        </w:rPr>
        <w:t>Jakub G. Firlus</w:t>
      </w:r>
    </w:p>
    <w:p w14:paraId="6B54080A" w14:textId="77777777" w:rsidR="009E4642" w:rsidRPr="003F682F" w:rsidRDefault="00816F0E">
      <w:r w:rsidRPr="003F682F">
        <w:br w:type="page"/>
      </w:r>
    </w:p>
    <w:bookmarkStart w:id="0" w:name="OLE_LINK1" w:displacedByCustomXml="next"/>
    <w:bookmarkStart w:id="1" w:name="OLE_LINK2" w:displacedByCustomXml="next"/>
    <w:sdt>
      <w:sdtPr>
        <w:rPr>
          <w:rFonts w:asciiTheme="minorHAnsi" w:eastAsiaTheme="minorHAnsi" w:hAnsiTheme="minorHAnsi" w:cstheme="minorBidi"/>
          <w:b w:val="0"/>
          <w:caps w:val="0"/>
          <w:color w:val="5F5F5F" w:themeColor="text2" w:themeTint="BF"/>
          <w:sz w:val="24"/>
          <w:szCs w:val="24"/>
        </w:rPr>
        <w:id w:val="-152138807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03A492D9" w14:textId="77777777" w:rsidR="00AC198B" w:rsidRPr="003F682F" w:rsidRDefault="00AC198B" w:rsidP="00AC198B">
          <w:pPr>
            <w:pStyle w:val="Nagwekspisutreci"/>
            <w:rPr>
              <w:color w:val="5F5F5F" w:themeColor="text2" w:themeTint="BF"/>
            </w:rPr>
          </w:pPr>
          <w:r w:rsidRPr="003F682F">
            <w:rPr>
              <w:color w:val="5F5F5F" w:themeColor="text2" w:themeTint="BF"/>
            </w:rPr>
            <w:t>Spis</w:t>
          </w:r>
        </w:p>
        <w:p w14:paraId="5BA23EDC" w14:textId="77777777" w:rsidR="00AC198B" w:rsidRPr="003F682F" w:rsidRDefault="00AC198B" w:rsidP="00AC198B">
          <w:pPr>
            <w:pStyle w:val="Nagwekspisutreci"/>
            <w:rPr>
              <w:color w:val="5F5F5F" w:themeColor="text2" w:themeTint="BF"/>
            </w:rPr>
          </w:pPr>
          <w:r w:rsidRPr="003F682F">
            <w:rPr>
              <w:color w:val="5F5F5F" w:themeColor="text2" w:themeTint="BF"/>
            </w:rPr>
            <w:t>treści</w:t>
          </w:r>
        </w:p>
        <w:p w14:paraId="75629BB4" w14:textId="02DE3891" w:rsidR="001D543C" w:rsidRPr="003F682F" w:rsidRDefault="00AC198B">
          <w:pPr>
            <w:pStyle w:val="Spistreci1"/>
            <w:tabs>
              <w:tab w:val="right" w:leader="dot" w:pos="8297"/>
            </w:tabs>
            <w:rPr>
              <w:rFonts w:eastAsiaTheme="minorEastAsia"/>
              <w:b w:val="0"/>
              <w:bCs w:val="0"/>
              <w:i w:val="0"/>
              <w:iCs w:val="0"/>
              <w:noProof/>
              <w:kern w:val="2"/>
              <w:lang w:eastAsia="pl-PL" w:bidi="ar-SA"/>
              <w14:ligatures w14:val="standardContextual"/>
            </w:rPr>
          </w:pPr>
          <w:r w:rsidRPr="003F682F">
            <w:rPr>
              <w:b w:val="0"/>
              <w:bCs w:val="0"/>
              <w:i w:val="0"/>
              <w:iCs w:val="0"/>
              <w:sz w:val="28"/>
              <w:szCs w:val="28"/>
            </w:rPr>
            <w:fldChar w:fldCharType="begin"/>
          </w:r>
          <w:r w:rsidRPr="003F682F">
            <w:rPr>
              <w:i w:val="0"/>
              <w:iCs w:val="0"/>
              <w:sz w:val="28"/>
              <w:szCs w:val="28"/>
            </w:rPr>
            <w:instrText>TOC \o "1-3" \h \z \u</w:instrText>
          </w:r>
          <w:r w:rsidRPr="003F682F">
            <w:rPr>
              <w:b w:val="0"/>
              <w:bCs w:val="0"/>
              <w:i w:val="0"/>
              <w:iCs w:val="0"/>
              <w:sz w:val="28"/>
              <w:szCs w:val="28"/>
            </w:rPr>
            <w:fldChar w:fldCharType="separate"/>
          </w:r>
          <w:hyperlink w:anchor="_Toc154588183" w:history="1">
            <w:r w:rsidR="001D543C" w:rsidRPr="003F682F">
              <w:rPr>
                <w:rStyle w:val="Hipercze"/>
                <w:i w:val="0"/>
                <w:iCs w:val="0"/>
                <w:noProof/>
                <w:color w:val="5F5F5F" w:themeColor="text2" w:themeTint="BF"/>
              </w:rPr>
              <w:t>Wprowadzenie</w:t>
            </w:r>
            <w:r w:rsidR="001D543C" w:rsidRPr="003F682F">
              <w:rPr>
                <w:i w:val="0"/>
                <w:iCs w:val="0"/>
                <w:noProof/>
                <w:webHidden/>
              </w:rPr>
              <w:tab/>
            </w:r>
            <w:r w:rsidR="001D543C" w:rsidRPr="003F682F">
              <w:rPr>
                <w:i w:val="0"/>
                <w:iCs w:val="0"/>
                <w:noProof/>
                <w:webHidden/>
              </w:rPr>
              <w:fldChar w:fldCharType="begin"/>
            </w:r>
            <w:r w:rsidR="001D543C" w:rsidRPr="003F682F">
              <w:rPr>
                <w:i w:val="0"/>
                <w:iCs w:val="0"/>
                <w:noProof/>
                <w:webHidden/>
              </w:rPr>
              <w:instrText xml:space="preserve"> PAGEREF _Toc154588183 \h </w:instrText>
            </w:r>
            <w:r w:rsidR="001D543C" w:rsidRPr="003F682F">
              <w:rPr>
                <w:i w:val="0"/>
                <w:iCs w:val="0"/>
                <w:noProof/>
                <w:webHidden/>
              </w:rPr>
            </w:r>
            <w:r w:rsidR="001D543C" w:rsidRPr="003F682F">
              <w:rPr>
                <w:i w:val="0"/>
                <w:iCs w:val="0"/>
                <w:noProof/>
                <w:webHidden/>
              </w:rPr>
              <w:fldChar w:fldCharType="separate"/>
            </w:r>
            <w:r w:rsidR="001D543C" w:rsidRPr="003F682F">
              <w:rPr>
                <w:i w:val="0"/>
                <w:iCs w:val="0"/>
                <w:noProof/>
                <w:webHidden/>
              </w:rPr>
              <w:t>3</w:t>
            </w:r>
            <w:r w:rsidR="001D543C" w:rsidRPr="003F682F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62FC2FDD" w14:textId="4535FB4D" w:rsidR="001D543C" w:rsidRPr="003F682F" w:rsidRDefault="00000000">
          <w:pPr>
            <w:pStyle w:val="Spistreci1"/>
            <w:tabs>
              <w:tab w:val="right" w:leader="dot" w:pos="8297"/>
            </w:tabs>
            <w:rPr>
              <w:rFonts w:eastAsiaTheme="minorEastAsia"/>
              <w:b w:val="0"/>
              <w:bCs w:val="0"/>
              <w:i w:val="0"/>
              <w:iCs w:val="0"/>
              <w:noProof/>
              <w:kern w:val="2"/>
              <w:lang w:eastAsia="pl-PL" w:bidi="ar-SA"/>
              <w14:ligatures w14:val="standardContextual"/>
            </w:rPr>
          </w:pPr>
          <w:hyperlink w:anchor="_Toc154588184" w:history="1">
            <w:r w:rsidR="001D543C" w:rsidRPr="003F682F">
              <w:rPr>
                <w:rStyle w:val="Hipercze"/>
                <w:i w:val="0"/>
                <w:iCs w:val="0"/>
                <w:noProof/>
                <w:color w:val="5F5F5F" w:themeColor="text2" w:themeTint="BF"/>
              </w:rPr>
              <w:t>tworzenie nowego kierunku studiów na uczelni</w:t>
            </w:r>
            <w:r w:rsidR="001D543C" w:rsidRPr="003F682F">
              <w:rPr>
                <w:i w:val="0"/>
                <w:iCs w:val="0"/>
                <w:noProof/>
                <w:webHidden/>
              </w:rPr>
              <w:tab/>
            </w:r>
            <w:r w:rsidR="001D543C" w:rsidRPr="003F682F">
              <w:rPr>
                <w:i w:val="0"/>
                <w:iCs w:val="0"/>
                <w:noProof/>
                <w:webHidden/>
              </w:rPr>
              <w:fldChar w:fldCharType="begin"/>
            </w:r>
            <w:r w:rsidR="001D543C" w:rsidRPr="003F682F">
              <w:rPr>
                <w:i w:val="0"/>
                <w:iCs w:val="0"/>
                <w:noProof/>
                <w:webHidden/>
              </w:rPr>
              <w:instrText xml:space="preserve"> PAGEREF _Toc154588184 \h </w:instrText>
            </w:r>
            <w:r w:rsidR="001D543C" w:rsidRPr="003F682F">
              <w:rPr>
                <w:i w:val="0"/>
                <w:iCs w:val="0"/>
                <w:noProof/>
                <w:webHidden/>
              </w:rPr>
            </w:r>
            <w:r w:rsidR="001D543C" w:rsidRPr="003F682F">
              <w:rPr>
                <w:i w:val="0"/>
                <w:iCs w:val="0"/>
                <w:noProof/>
                <w:webHidden/>
              </w:rPr>
              <w:fldChar w:fldCharType="separate"/>
            </w:r>
            <w:r w:rsidR="001D543C" w:rsidRPr="003F682F">
              <w:rPr>
                <w:i w:val="0"/>
                <w:iCs w:val="0"/>
                <w:noProof/>
                <w:webHidden/>
              </w:rPr>
              <w:t>4</w:t>
            </w:r>
            <w:r w:rsidR="001D543C" w:rsidRPr="003F682F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7FC52BA4" w14:textId="5571475E" w:rsidR="001D543C" w:rsidRPr="003F682F" w:rsidRDefault="00000000">
          <w:pPr>
            <w:pStyle w:val="Spistreci1"/>
            <w:tabs>
              <w:tab w:val="right" w:leader="dot" w:pos="8297"/>
            </w:tabs>
            <w:rPr>
              <w:rFonts w:eastAsiaTheme="minorEastAsia"/>
              <w:b w:val="0"/>
              <w:bCs w:val="0"/>
              <w:i w:val="0"/>
              <w:iCs w:val="0"/>
              <w:noProof/>
              <w:kern w:val="2"/>
              <w:lang w:eastAsia="pl-PL" w:bidi="ar-SA"/>
              <w14:ligatures w14:val="standardContextual"/>
            </w:rPr>
          </w:pPr>
          <w:hyperlink w:anchor="_Toc154588185" w:history="1">
            <w:r w:rsidR="001D543C" w:rsidRPr="003F682F">
              <w:rPr>
                <w:rStyle w:val="Hipercze"/>
                <w:i w:val="0"/>
                <w:iCs w:val="0"/>
                <w:noProof/>
                <w:color w:val="5F5F5F" w:themeColor="text2" w:themeTint="BF"/>
              </w:rPr>
              <w:t>Monitorowanie i ocena wewnętrzna kierunków studiów</w:t>
            </w:r>
            <w:r w:rsidR="001D543C" w:rsidRPr="003F682F">
              <w:rPr>
                <w:i w:val="0"/>
                <w:iCs w:val="0"/>
                <w:noProof/>
                <w:webHidden/>
              </w:rPr>
              <w:tab/>
            </w:r>
            <w:r w:rsidR="001D543C" w:rsidRPr="003F682F">
              <w:rPr>
                <w:i w:val="0"/>
                <w:iCs w:val="0"/>
                <w:noProof/>
                <w:webHidden/>
              </w:rPr>
              <w:fldChar w:fldCharType="begin"/>
            </w:r>
            <w:r w:rsidR="001D543C" w:rsidRPr="003F682F">
              <w:rPr>
                <w:i w:val="0"/>
                <w:iCs w:val="0"/>
                <w:noProof/>
                <w:webHidden/>
              </w:rPr>
              <w:instrText xml:space="preserve"> PAGEREF _Toc154588185 \h </w:instrText>
            </w:r>
            <w:r w:rsidR="001D543C" w:rsidRPr="003F682F">
              <w:rPr>
                <w:i w:val="0"/>
                <w:iCs w:val="0"/>
                <w:noProof/>
                <w:webHidden/>
              </w:rPr>
            </w:r>
            <w:r w:rsidR="001D543C" w:rsidRPr="003F682F">
              <w:rPr>
                <w:i w:val="0"/>
                <w:iCs w:val="0"/>
                <w:noProof/>
                <w:webHidden/>
              </w:rPr>
              <w:fldChar w:fldCharType="separate"/>
            </w:r>
            <w:r w:rsidR="001D543C" w:rsidRPr="003F682F">
              <w:rPr>
                <w:i w:val="0"/>
                <w:iCs w:val="0"/>
                <w:noProof/>
                <w:webHidden/>
              </w:rPr>
              <w:t>5</w:t>
            </w:r>
            <w:r w:rsidR="001D543C" w:rsidRPr="003F682F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4A28242B" w14:textId="3B7FF354" w:rsidR="001D543C" w:rsidRPr="003F682F" w:rsidRDefault="00000000">
          <w:pPr>
            <w:pStyle w:val="Spistreci1"/>
            <w:tabs>
              <w:tab w:val="right" w:leader="dot" w:pos="8297"/>
            </w:tabs>
            <w:rPr>
              <w:rFonts w:eastAsiaTheme="minorEastAsia"/>
              <w:b w:val="0"/>
              <w:bCs w:val="0"/>
              <w:i w:val="0"/>
              <w:iCs w:val="0"/>
              <w:noProof/>
              <w:kern w:val="2"/>
              <w:lang w:eastAsia="pl-PL" w:bidi="ar-SA"/>
              <w14:ligatures w14:val="standardContextual"/>
            </w:rPr>
          </w:pPr>
          <w:hyperlink w:anchor="_Toc154588186" w:history="1">
            <w:r w:rsidR="001D543C" w:rsidRPr="003F682F">
              <w:rPr>
                <w:rStyle w:val="Hipercze"/>
                <w:i w:val="0"/>
                <w:iCs w:val="0"/>
                <w:noProof/>
                <w:color w:val="5F5F5F" w:themeColor="text2" w:themeTint="BF"/>
              </w:rPr>
              <w:t>Ocena kierunków studiów przez PKA</w:t>
            </w:r>
            <w:r w:rsidR="001D543C" w:rsidRPr="003F682F">
              <w:rPr>
                <w:i w:val="0"/>
                <w:iCs w:val="0"/>
                <w:noProof/>
                <w:webHidden/>
              </w:rPr>
              <w:tab/>
            </w:r>
            <w:r w:rsidR="001D543C" w:rsidRPr="003F682F">
              <w:rPr>
                <w:i w:val="0"/>
                <w:iCs w:val="0"/>
                <w:noProof/>
                <w:webHidden/>
              </w:rPr>
              <w:fldChar w:fldCharType="begin"/>
            </w:r>
            <w:r w:rsidR="001D543C" w:rsidRPr="003F682F">
              <w:rPr>
                <w:i w:val="0"/>
                <w:iCs w:val="0"/>
                <w:noProof/>
                <w:webHidden/>
              </w:rPr>
              <w:instrText xml:space="preserve"> PAGEREF _Toc154588186 \h </w:instrText>
            </w:r>
            <w:r w:rsidR="001D543C" w:rsidRPr="003F682F">
              <w:rPr>
                <w:i w:val="0"/>
                <w:iCs w:val="0"/>
                <w:noProof/>
                <w:webHidden/>
              </w:rPr>
            </w:r>
            <w:r w:rsidR="001D543C" w:rsidRPr="003F682F">
              <w:rPr>
                <w:i w:val="0"/>
                <w:iCs w:val="0"/>
                <w:noProof/>
                <w:webHidden/>
              </w:rPr>
              <w:fldChar w:fldCharType="separate"/>
            </w:r>
            <w:r w:rsidR="001D543C" w:rsidRPr="003F682F">
              <w:rPr>
                <w:i w:val="0"/>
                <w:iCs w:val="0"/>
                <w:noProof/>
                <w:webHidden/>
              </w:rPr>
              <w:t>7</w:t>
            </w:r>
            <w:r w:rsidR="001D543C" w:rsidRPr="003F682F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01006D8D" w14:textId="6BAC5D57" w:rsidR="001D543C" w:rsidRPr="003F682F" w:rsidRDefault="00000000">
          <w:pPr>
            <w:pStyle w:val="Spistreci1"/>
            <w:tabs>
              <w:tab w:val="right" w:leader="dot" w:pos="8297"/>
            </w:tabs>
            <w:rPr>
              <w:rFonts w:eastAsiaTheme="minorEastAsia"/>
              <w:b w:val="0"/>
              <w:bCs w:val="0"/>
              <w:i w:val="0"/>
              <w:iCs w:val="0"/>
              <w:noProof/>
              <w:kern w:val="2"/>
              <w:lang w:eastAsia="pl-PL" w:bidi="ar-SA"/>
              <w14:ligatures w14:val="standardContextual"/>
            </w:rPr>
          </w:pPr>
          <w:hyperlink w:anchor="_Toc154588187" w:history="1">
            <w:r w:rsidR="001D543C" w:rsidRPr="003F682F">
              <w:rPr>
                <w:rStyle w:val="Hipercze"/>
                <w:i w:val="0"/>
                <w:iCs w:val="0"/>
                <w:noProof/>
                <w:color w:val="5F5F5F" w:themeColor="text2" w:themeTint="BF"/>
              </w:rPr>
              <w:t>Popyt na specjalistów z niepełnosprawnościami</w:t>
            </w:r>
            <w:r w:rsidR="001D543C" w:rsidRPr="003F682F">
              <w:rPr>
                <w:i w:val="0"/>
                <w:iCs w:val="0"/>
                <w:noProof/>
                <w:webHidden/>
              </w:rPr>
              <w:tab/>
            </w:r>
            <w:r w:rsidR="001D543C" w:rsidRPr="003F682F">
              <w:rPr>
                <w:i w:val="0"/>
                <w:iCs w:val="0"/>
                <w:noProof/>
                <w:webHidden/>
              </w:rPr>
              <w:fldChar w:fldCharType="begin"/>
            </w:r>
            <w:r w:rsidR="001D543C" w:rsidRPr="003F682F">
              <w:rPr>
                <w:i w:val="0"/>
                <w:iCs w:val="0"/>
                <w:noProof/>
                <w:webHidden/>
              </w:rPr>
              <w:instrText xml:space="preserve"> PAGEREF _Toc154588187 \h </w:instrText>
            </w:r>
            <w:r w:rsidR="001D543C" w:rsidRPr="003F682F">
              <w:rPr>
                <w:i w:val="0"/>
                <w:iCs w:val="0"/>
                <w:noProof/>
                <w:webHidden/>
              </w:rPr>
            </w:r>
            <w:r w:rsidR="001D543C" w:rsidRPr="003F682F">
              <w:rPr>
                <w:i w:val="0"/>
                <w:iCs w:val="0"/>
                <w:noProof/>
                <w:webHidden/>
              </w:rPr>
              <w:fldChar w:fldCharType="separate"/>
            </w:r>
            <w:r w:rsidR="001D543C" w:rsidRPr="003F682F">
              <w:rPr>
                <w:i w:val="0"/>
                <w:iCs w:val="0"/>
                <w:noProof/>
                <w:webHidden/>
              </w:rPr>
              <w:t>8</w:t>
            </w:r>
            <w:r w:rsidR="001D543C" w:rsidRPr="003F682F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08776B3B" w14:textId="5DF1364D" w:rsidR="001D543C" w:rsidRPr="003F682F" w:rsidRDefault="00000000">
          <w:pPr>
            <w:pStyle w:val="Spistreci1"/>
            <w:tabs>
              <w:tab w:val="right" w:leader="dot" w:pos="8297"/>
            </w:tabs>
            <w:rPr>
              <w:rFonts w:eastAsiaTheme="minorEastAsia"/>
              <w:b w:val="0"/>
              <w:bCs w:val="0"/>
              <w:i w:val="0"/>
              <w:iCs w:val="0"/>
              <w:noProof/>
              <w:kern w:val="2"/>
              <w:lang w:eastAsia="pl-PL" w:bidi="ar-SA"/>
              <w14:ligatures w14:val="standardContextual"/>
            </w:rPr>
          </w:pPr>
          <w:hyperlink w:anchor="_Toc154588188" w:history="1">
            <w:r w:rsidR="001D543C" w:rsidRPr="003F682F">
              <w:rPr>
                <w:rStyle w:val="Hipercze"/>
                <w:i w:val="0"/>
                <w:iCs w:val="0"/>
                <w:noProof/>
                <w:color w:val="5F5F5F" w:themeColor="text2" w:themeTint="BF"/>
              </w:rPr>
              <w:t>Podsumowanie</w:t>
            </w:r>
            <w:r w:rsidR="001D543C" w:rsidRPr="003F682F">
              <w:rPr>
                <w:i w:val="0"/>
                <w:iCs w:val="0"/>
                <w:noProof/>
                <w:webHidden/>
              </w:rPr>
              <w:tab/>
            </w:r>
            <w:r w:rsidR="001D543C" w:rsidRPr="003F682F">
              <w:rPr>
                <w:i w:val="0"/>
                <w:iCs w:val="0"/>
                <w:noProof/>
                <w:webHidden/>
              </w:rPr>
              <w:fldChar w:fldCharType="begin"/>
            </w:r>
            <w:r w:rsidR="001D543C" w:rsidRPr="003F682F">
              <w:rPr>
                <w:i w:val="0"/>
                <w:iCs w:val="0"/>
                <w:noProof/>
                <w:webHidden/>
              </w:rPr>
              <w:instrText xml:space="preserve"> PAGEREF _Toc154588188 \h </w:instrText>
            </w:r>
            <w:r w:rsidR="001D543C" w:rsidRPr="003F682F">
              <w:rPr>
                <w:i w:val="0"/>
                <w:iCs w:val="0"/>
                <w:noProof/>
                <w:webHidden/>
              </w:rPr>
            </w:r>
            <w:r w:rsidR="001D543C" w:rsidRPr="003F682F">
              <w:rPr>
                <w:i w:val="0"/>
                <w:iCs w:val="0"/>
                <w:noProof/>
                <w:webHidden/>
              </w:rPr>
              <w:fldChar w:fldCharType="separate"/>
            </w:r>
            <w:r w:rsidR="001D543C" w:rsidRPr="003F682F">
              <w:rPr>
                <w:i w:val="0"/>
                <w:iCs w:val="0"/>
                <w:noProof/>
                <w:webHidden/>
              </w:rPr>
              <w:t>8</w:t>
            </w:r>
            <w:r w:rsidR="001D543C" w:rsidRPr="003F682F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278CD5E5" w14:textId="685961F7" w:rsidR="00AC198B" w:rsidRPr="003F682F" w:rsidRDefault="00AC198B" w:rsidP="00AC198B">
          <w:r w:rsidRPr="003F682F">
            <w:rPr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14:paraId="281D35C5" w14:textId="77777777" w:rsidR="00AC198B" w:rsidRPr="003F682F" w:rsidRDefault="00AC198B" w:rsidP="00580D6F">
      <w:pPr>
        <w:pStyle w:val="Nagwek1"/>
        <w:spacing w:before="600" w:after="800"/>
        <w:rPr>
          <w:color w:val="5F5F5F" w:themeColor="text2" w:themeTint="BF"/>
          <w:sz w:val="52"/>
          <w:szCs w:val="52"/>
        </w:rPr>
      </w:pPr>
    </w:p>
    <w:p w14:paraId="5944FD19" w14:textId="77777777" w:rsidR="00AC198B" w:rsidRPr="003F682F" w:rsidRDefault="00AC198B">
      <w:pPr>
        <w:rPr>
          <w:rFonts w:asciiTheme="majorHAnsi" w:eastAsiaTheme="majorEastAsia" w:hAnsiTheme="majorHAnsi" w:cstheme="majorBidi"/>
          <w:b/>
          <w:caps/>
          <w:sz w:val="52"/>
          <w:szCs w:val="52"/>
        </w:rPr>
      </w:pPr>
      <w:r w:rsidRPr="003F682F">
        <w:rPr>
          <w:sz w:val="52"/>
          <w:szCs w:val="52"/>
        </w:rPr>
        <w:br w:type="page"/>
      </w:r>
    </w:p>
    <w:p w14:paraId="4E189E46" w14:textId="52D1E4D7" w:rsidR="00F8743D" w:rsidRPr="003F682F" w:rsidRDefault="00F8743D" w:rsidP="00580D6F">
      <w:pPr>
        <w:pStyle w:val="Nagwek1"/>
        <w:spacing w:before="600" w:after="800"/>
        <w:rPr>
          <w:color w:val="FF0000"/>
          <w:sz w:val="52"/>
          <w:szCs w:val="52"/>
        </w:rPr>
      </w:pPr>
      <w:bookmarkStart w:id="2" w:name="_Toc154588183"/>
      <w:r w:rsidRPr="003F682F">
        <w:rPr>
          <w:color w:val="FF0000"/>
          <w:sz w:val="52"/>
          <w:szCs w:val="52"/>
        </w:rPr>
        <w:lastRenderedPageBreak/>
        <w:t>Wprowadzenie</w:t>
      </w:r>
      <w:bookmarkEnd w:id="2"/>
    </w:p>
    <w:p w14:paraId="4B29C01E" w14:textId="58CB98D0" w:rsidR="00904705" w:rsidRPr="003F682F" w:rsidRDefault="00904705" w:rsidP="00904705">
      <w:bookmarkStart w:id="3" w:name="_Toc154588184"/>
      <w:bookmarkEnd w:id="1"/>
      <w:bookmarkEnd w:id="0"/>
      <w:r w:rsidRPr="003F682F">
        <w:t>Misją systemu szkolnictwa wyższego i nauki jest prowadzenie najwyższej jakości kształcenia oraz działalności naukowej, kształtowanie postaw obywatelskich, a także uczestnictwo w rozwoju społecznym oraz tworzeniu gospodarki opartej na innowacjach (art. 2 ustawy z dnia 20 lipca 2018 r. Prawo o szkolnictwie wyższym i nauce; zwanej dalej jako u.o.s.w.</w:t>
      </w:r>
      <w:r w:rsidRPr="003F682F">
        <w:rPr>
          <w:rStyle w:val="Odwoanieprzypisudolnego"/>
          <w:rFonts w:ascii="Helvetica" w:hAnsi="Helvetica"/>
        </w:rPr>
        <w:footnoteReference w:id="1"/>
      </w:r>
      <w:r w:rsidRPr="003F682F">
        <w:t xml:space="preserve">). Realizacja tych dwóch ostatnich, możliwa jest tylko przy zapewnieniu efektywnej współpracy z otoczeniem społeczno-gospodarczym, w tym przedstawicielami pracodawców. Ustawa o szkolnictwie wyższym i nauce przewiduje wielość form współpracy z przedstawicielami pracodawców, my w niniejszym opracowaniu skupimy się na jednej z nich, a to współpracy </w:t>
      </w:r>
      <w:r w:rsidR="00FF46C1">
        <w:t>w zakresie</w:t>
      </w:r>
      <w:r w:rsidRPr="003F682F">
        <w:t xml:space="preserve"> </w:t>
      </w:r>
      <w:r w:rsidR="00FF46C1">
        <w:t>kształtowania</w:t>
      </w:r>
      <w:r w:rsidRPr="003F682F">
        <w:t xml:space="preserve"> programu studiów. </w:t>
      </w:r>
    </w:p>
    <w:p w14:paraId="3CC4DE8F" w14:textId="60C61D44" w:rsidR="00904705" w:rsidRPr="003F682F" w:rsidRDefault="00904705" w:rsidP="00904705">
      <w:pPr>
        <w:rPr>
          <w:rFonts w:cs="Open Sans"/>
        </w:rPr>
      </w:pPr>
      <w:r w:rsidRPr="003F682F">
        <w:rPr>
          <w:rFonts w:cs="Open Sans"/>
        </w:rPr>
        <w:t>Zgodnie z art.  67 u.o.s.w.  studia są prowadzone na określonym kierunku, poziomie i profilu na podstawie programu studiów, który określa: 1)</w:t>
      </w:r>
      <w:r w:rsidRPr="003F682F">
        <w:rPr>
          <w:rStyle w:val="apple-converted-space"/>
          <w:rFonts w:ascii="Helvetica" w:hAnsi="Helvetica" w:cs="Open Sans"/>
        </w:rPr>
        <w:t> </w:t>
      </w:r>
      <w:r w:rsidRPr="003F682F">
        <w:rPr>
          <w:rFonts w:cs="Open Sans"/>
        </w:rPr>
        <w:t>efekty uczenia się</w:t>
      </w:r>
      <w:r w:rsidRPr="003F682F">
        <w:rPr>
          <w:rStyle w:val="Odwoanieprzypisudolnego"/>
          <w:rFonts w:ascii="Helvetica" w:hAnsi="Helvetica" w:cs="Open Sans"/>
        </w:rPr>
        <w:footnoteReference w:id="2"/>
      </w:r>
      <w:r w:rsidRPr="003F682F">
        <w:rPr>
          <w:rFonts w:cs="Open Sans"/>
        </w:rPr>
        <w:t>; 2)</w:t>
      </w:r>
      <w:r w:rsidRPr="003F682F">
        <w:rPr>
          <w:rStyle w:val="apple-converted-space"/>
          <w:rFonts w:ascii="Helvetica" w:hAnsi="Helvetica" w:cs="Open Sans"/>
        </w:rPr>
        <w:t> </w:t>
      </w:r>
      <w:r w:rsidRPr="003F682F">
        <w:rPr>
          <w:rFonts w:cs="Open Sans"/>
        </w:rPr>
        <w:t>opis procesu prowadzącego do uzyskania efektów uczenia się; 3)</w:t>
      </w:r>
      <w:r w:rsidRPr="003F682F">
        <w:rPr>
          <w:rStyle w:val="apple-converted-space"/>
          <w:rFonts w:ascii="Helvetica" w:hAnsi="Helvetica" w:cs="Open Sans"/>
        </w:rPr>
        <w:t> </w:t>
      </w:r>
      <w:r w:rsidRPr="003F682F">
        <w:rPr>
          <w:rFonts w:cs="Open Sans"/>
        </w:rPr>
        <w:t>liczbę punktów ECTS przypisanych do zajęć.</w:t>
      </w:r>
    </w:p>
    <w:p w14:paraId="679AE35F" w14:textId="1BBC245B" w:rsidR="00904705" w:rsidRPr="003F682F" w:rsidRDefault="00904705" w:rsidP="00904705">
      <w:r w:rsidRPr="003F682F">
        <w:t>Wpływ na program studiów przedstawicieli pracodawców odbywa się na 3 etapach:</w:t>
      </w:r>
    </w:p>
    <w:p w14:paraId="3C11A208" w14:textId="77777777" w:rsidR="00904705" w:rsidRPr="003F682F" w:rsidRDefault="00904705" w:rsidP="00904705">
      <w:pPr>
        <w:pStyle w:val="Akapitzlist"/>
        <w:numPr>
          <w:ilvl w:val="0"/>
          <w:numId w:val="33"/>
        </w:numPr>
        <w:rPr>
          <w:i w:val="0"/>
          <w:iCs/>
        </w:rPr>
      </w:pPr>
      <w:r w:rsidRPr="003F682F">
        <w:rPr>
          <w:i w:val="0"/>
          <w:iCs/>
        </w:rPr>
        <w:t>utworzenie nowego kierunku studiów na danej uczelni;</w:t>
      </w:r>
    </w:p>
    <w:p w14:paraId="0B81E3AD" w14:textId="77777777" w:rsidR="00904705" w:rsidRPr="003F682F" w:rsidRDefault="00904705" w:rsidP="00904705">
      <w:pPr>
        <w:pStyle w:val="Akapitzlist"/>
        <w:numPr>
          <w:ilvl w:val="0"/>
          <w:numId w:val="33"/>
        </w:numPr>
        <w:rPr>
          <w:i w:val="0"/>
          <w:iCs/>
        </w:rPr>
      </w:pPr>
      <w:r w:rsidRPr="003F682F">
        <w:rPr>
          <w:i w:val="0"/>
          <w:iCs/>
        </w:rPr>
        <w:t>w ramach wewnętrznych systemów monitorowania prowadzonego kierunku studiów na danej uczelni;</w:t>
      </w:r>
    </w:p>
    <w:p w14:paraId="1108245D" w14:textId="77777777" w:rsidR="00904705" w:rsidRPr="003F682F" w:rsidRDefault="00904705" w:rsidP="00904705">
      <w:pPr>
        <w:pStyle w:val="Akapitzlist"/>
        <w:numPr>
          <w:ilvl w:val="0"/>
          <w:numId w:val="33"/>
        </w:numPr>
        <w:rPr>
          <w:i w:val="0"/>
          <w:iCs/>
        </w:rPr>
      </w:pPr>
      <w:r w:rsidRPr="003F682F">
        <w:rPr>
          <w:i w:val="0"/>
          <w:iCs/>
        </w:rPr>
        <w:t>oceny instytucjonalnej prowadzonego kierunku studiów na danej uczelni przez Polską Komisję Akredytacyjną.</w:t>
      </w:r>
    </w:p>
    <w:p w14:paraId="417A6D18" w14:textId="38CB8546" w:rsidR="006F1B62" w:rsidRPr="003F682F" w:rsidRDefault="006F1B62" w:rsidP="006F1B62">
      <w:pPr>
        <w:pStyle w:val="Nagwek1"/>
        <w:spacing w:before="600" w:after="800"/>
        <w:rPr>
          <w:color w:val="FF0000"/>
          <w:sz w:val="52"/>
          <w:szCs w:val="52"/>
        </w:rPr>
      </w:pPr>
      <w:r w:rsidRPr="003F682F">
        <w:rPr>
          <w:color w:val="FF0000"/>
          <w:sz w:val="52"/>
          <w:szCs w:val="52"/>
        </w:rPr>
        <w:lastRenderedPageBreak/>
        <w:t>tworzenie nowego kierunku studiów na uczelni</w:t>
      </w:r>
      <w:bookmarkEnd w:id="3"/>
    </w:p>
    <w:p w14:paraId="068A1E3A" w14:textId="3B8F2A65" w:rsidR="00904705" w:rsidRPr="003F682F" w:rsidRDefault="00904705" w:rsidP="00904705">
      <w:bookmarkStart w:id="4" w:name="_Toc154588185"/>
      <w:r w:rsidRPr="003F682F">
        <w:t>Zgodnie z § 9 ust. 1 lit. b) i ust 2 rozporządzenia o studiach</w:t>
      </w:r>
      <w:r w:rsidRPr="003F682F">
        <w:rPr>
          <w:rStyle w:val="Odwoanieprzypisudolnego"/>
          <w:rFonts w:ascii="Helvetica" w:hAnsi="Helvetica"/>
        </w:rPr>
        <w:footnoteReference w:id="3"/>
      </w:r>
      <w:r w:rsidRPr="003F682F">
        <w:t>, wniosek o pozwolenie na utworzenie studiów zawiera m.in. koncepcję kształcenia, w tym wskazanie potrzeb społeczno-gospodarczych utworzenia studiów oraz zgodności efektów uczenia się z tymi potrzebami oraz uzasadnienie utworzenia studiów na określonym kierunku, poziomie i profilu. Wymóg ten aktualny pozostaje nie tylko wobec uczelni ogólnoakademickich, ale także tych o zawodowym profilu kształcenia. Z kolei o relewancji wskazanego wymogu świadczy to, że minister może odmówić wydania pozwolenia na utworzenie studiów na określonym kierunku, poziomie i profilu, nawet bez zasięgania opinii PKA, jeżeli według stanu na dzień złożenia wniosku kształcenie na studiach na danym kierunku nie odpowiada potrzebom społeczno-gospodarczym</w:t>
      </w:r>
      <w:r w:rsidRPr="003F682F">
        <w:rPr>
          <w:rStyle w:val="Odwoanieprzypisudolnego"/>
          <w:rFonts w:ascii="Helvetica" w:hAnsi="Helvetica" w:cs="Open Sans"/>
          <w:b/>
          <w:bCs/>
        </w:rPr>
        <w:footnoteReference w:id="4"/>
      </w:r>
      <w:r w:rsidRPr="003F682F">
        <w:t>.</w:t>
      </w:r>
    </w:p>
    <w:p w14:paraId="7BB6460C" w14:textId="12C6DC3E" w:rsidR="00904705" w:rsidRPr="003F682F" w:rsidRDefault="0067519B" w:rsidP="00904705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Analiza</w:t>
      </w:r>
      <w:r w:rsidR="00904705" w:rsidRPr="003F682F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regulacji prawnych</w:t>
      </w:r>
      <w:r w:rsidR="00904705" w:rsidRPr="003F682F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uzasadnia wniosek</w:t>
      </w:r>
      <w:r w:rsidR="00904705" w:rsidRPr="003F682F">
        <w:rPr>
          <w:rFonts w:cs="Arial"/>
          <w:shd w:val="clear" w:color="auto" w:fill="FFFFFF"/>
        </w:rPr>
        <w:t>, że nowe kierunki studiów mogą być wspólnie z pracodawcami tworzone, a nawet wspólnie z nimi prowadzone</w:t>
      </w:r>
      <w:r w:rsidR="00904705" w:rsidRPr="003F682F">
        <w:rPr>
          <w:rStyle w:val="Odwoanieprzypisudolnego"/>
          <w:rFonts w:ascii="Helvetica" w:hAnsi="Helvetica" w:cs="Arial"/>
          <w:shd w:val="clear" w:color="auto" w:fill="FFFFFF"/>
        </w:rPr>
        <w:footnoteReference w:id="5"/>
      </w:r>
      <w:r w:rsidR="00904705" w:rsidRPr="003F682F">
        <w:rPr>
          <w:rFonts w:cs="Arial"/>
          <w:shd w:val="clear" w:color="auto" w:fill="FFFFFF"/>
        </w:rPr>
        <w:t xml:space="preserve"> (tzw. studia dualne)</w:t>
      </w:r>
      <w:r w:rsidR="00904705" w:rsidRPr="003F682F">
        <w:rPr>
          <w:rStyle w:val="Odwoanieprzypisudolnego"/>
          <w:rFonts w:ascii="Helvetica" w:hAnsi="Helvetica" w:cs="Arial"/>
          <w:shd w:val="clear" w:color="auto" w:fill="FFFFFF"/>
        </w:rPr>
        <w:footnoteReference w:id="6"/>
      </w:r>
      <w:r w:rsidR="00904705" w:rsidRPr="003F682F">
        <w:rPr>
          <w:rFonts w:cs="Arial"/>
          <w:shd w:val="clear" w:color="auto" w:fill="FFFFFF"/>
        </w:rPr>
        <w:t>. Daje to nie tylko możliwość dobrego kształcenia, lecz także łatwiejszego znalezienia pracy. Zyskują na tym zarówno studenci, jak i pracodawcy, którzy są w stanie</w:t>
      </w:r>
      <w:r w:rsidR="00904705" w:rsidRPr="003F682F">
        <w:rPr>
          <w:rStyle w:val="apple-converted-space"/>
          <w:rFonts w:ascii="Helvetica" w:hAnsi="Helvetica" w:cs="Arial"/>
          <w:shd w:val="clear" w:color="auto" w:fill="FFFFFF"/>
        </w:rPr>
        <w:t> </w:t>
      </w:r>
      <w:r w:rsidR="00904705" w:rsidRPr="003F682F">
        <w:rPr>
          <w:rFonts w:ascii="Helvetica" w:hAnsi="Helvetica" w:cs="Arial"/>
          <w:bdr w:val="none" w:sz="0" w:space="0" w:color="auto" w:frame="1"/>
        </w:rPr>
        <w:t>zatrudnić</w:t>
      </w:r>
      <w:r w:rsidR="00904705" w:rsidRPr="003F682F">
        <w:rPr>
          <w:rStyle w:val="apple-converted-space"/>
          <w:rFonts w:ascii="Helvetica" w:hAnsi="Helvetica" w:cs="Arial"/>
          <w:shd w:val="clear" w:color="auto" w:fill="FFFFFF"/>
        </w:rPr>
        <w:t> </w:t>
      </w:r>
      <w:r w:rsidR="00904705" w:rsidRPr="003F682F">
        <w:rPr>
          <w:rFonts w:cs="Arial"/>
          <w:shd w:val="clear" w:color="auto" w:fill="FFFFFF"/>
        </w:rPr>
        <w:t>najlepszych jeszcze na etapie studiów</w:t>
      </w:r>
      <w:r w:rsidR="00904705" w:rsidRPr="003F682F">
        <w:rPr>
          <w:rStyle w:val="Odwoanieprzypisudolnego"/>
          <w:rFonts w:ascii="Helvetica" w:hAnsi="Helvetica" w:cs="Arial"/>
          <w:shd w:val="clear" w:color="auto" w:fill="FFFFFF"/>
        </w:rPr>
        <w:footnoteReference w:id="7"/>
      </w:r>
      <w:r w:rsidR="00904705" w:rsidRPr="003F682F">
        <w:rPr>
          <w:rFonts w:cs="Arial"/>
          <w:shd w:val="clear" w:color="auto" w:fill="FFFFFF"/>
        </w:rPr>
        <w:t>.</w:t>
      </w:r>
    </w:p>
    <w:p w14:paraId="7971F14F" w14:textId="0746C719" w:rsidR="006F1B62" w:rsidRPr="003F682F" w:rsidRDefault="006F1B62" w:rsidP="006F1B62">
      <w:pPr>
        <w:pStyle w:val="Nagwek1"/>
        <w:spacing w:before="600" w:after="800"/>
        <w:rPr>
          <w:color w:val="FF0000"/>
          <w:sz w:val="52"/>
          <w:szCs w:val="52"/>
        </w:rPr>
      </w:pPr>
      <w:r w:rsidRPr="003F682F">
        <w:rPr>
          <w:color w:val="FF0000"/>
          <w:sz w:val="52"/>
          <w:szCs w:val="52"/>
        </w:rPr>
        <w:lastRenderedPageBreak/>
        <w:t>Monitorowanie i ocena wewnętrzna kierunków studiów</w:t>
      </w:r>
      <w:bookmarkEnd w:id="4"/>
    </w:p>
    <w:p w14:paraId="3EEE5B62" w14:textId="77777777" w:rsidR="003F682F" w:rsidRPr="003F682F" w:rsidRDefault="003F682F" w:rsidP="003F682F">
      <w:r w:rsidRPr="003F682F">
        <w:t>Jeżeli chodzi z kolei o studia już prowadzone na uczelni wyższej, to zgodnie z § 7 ust. 1 i 2 rozporządzenia program studiów podlega systematycznej ocenie i doskonaleniu, w tym w szczególności w programie studiów uwzględnia się wnioski z:</w:t>
      </w:r>
    </w:p>
    <w:p w14:paraId="593493CB" w14:textId="40F4C2E0" w:rsidR="003F682F" w:rsidRPr="003F682F" w:rsidRDefault="003F682F" w:rsidP="003F682F">
      <w:pPr>
        <w:pStyle w:val="Akapitzlist"/>
        <w:numPr>
          <w:ilvl w:val="0"/>
          <w:numId w:val="36"/>
        </w:numPr>
        <w:rPr>
          <w:i w:val="0"/>
          <w:iCs/>
          <w:shd w:val="clear" w:color="auto" w:fill="FFFFFF"/>
        </w:rPr>
      </w:pPr>
      <w:r w:rsidRPr="003F682F">
        <w:rPr>
          <w:i w:val="0"/>
          <w:iCs/>
        </w:rPr>
        <w:t>analizy zgodności efektów uczenia się z potrzebami rynku pracy, poprzez udział przedstawicieli pracodawców w komisjach ds. jakości kształcenia na danym kierunku studiów czy komisjach ds. reformy danego kierunku studiów;</w:t>
      </w:r>
    </w:p>
    <w:p w14:paraId="5116C0BD" w14:textId="33D21BD5" w:rsidR="003F682F" w:rsidRPr="003F682F" w:rsidRDefault="003F682F" w:rsidP="003F682F">
      <w:pPr>
        <w:pStyle w:val="Akapitzlist"/>
        <w:numPr>
          <w:ilvl w:val="0"/>
          <w:numId w:val="36"/>
        </w:numPr>
        <w:rPr>
          <w:i w:val="0"/>
          <w:iCs/>
          <w:shd w:val="clear" w:color="auto" w:fill="FFFFFF"/>
        </w:rPr>
      </w:pPr>
      <w:r w:rsidRPr="003F682F">
        <w:rPr>
          <w:i w:val="0"/>
          <w:iCs/>
        </w:rPr>
        <w:t xml:space="preserve">analizy wyników </w:t>
      </w:r>
      <w:r w:rsidRPr="003F682F">
        <w:rPr>
          <w:i w:val="0"/>
          <w:iCs/>
          <w:shd w:val="clear" w:color="auto" w:fill="FFFFFF"/>
        </w:rPr>
        <w:t xml:space="preserve">ogólnopolskiego monitoringu karier studentów i absolwentów studiów, który przeprowadza Minister Nauki w trybie art. 352 u.s.w. Monitoring ten jest prowadzony na podstawie: danych zawartych w Systemie POL-on oraz danych gromadzonych przez Zakład Ubezpieczeń Społecznych, na kontach ubezpieczonych lub kontach płatników składek. Wyniki badań dostępne są publicznie w Internecie i ukazują poziom zarobków absolwentów po ukończeniu studiów na danym kierunku, w danej uczelnie. Monitoring ten nie odnosi się jednak do kryterium szczególnych potrzeb, w tym niepełnosprawności. </w:t>
      </w:r>
      <w:r w:rsidRPr="003F682F">
        <w:rPr>
          <w:i w:val="0"/>
          <w:iCs/>
        </w:rPr>
        <w:t>W celu doskonalenia programu studiów można dokonywać w nim zmian;</w:t>
      </w:r>
    </w:p>
    <w:p w14:paraId="4FF4113C" w14:textId="67764500" w:rsidR="003F682F" w:rsidRPr="003F682F" w:rsidRDefault="003F682F" w:rsidP="003F682F">
      <w:pPr>
        <w:pStyle w:val="Akapitzlist"/>
        <w:numPr>
          <w:ilvl w:val="0"/>
          <w:numId w:val="36"/>
        </w:numPr>
        <w:rPr>
          <w:i w:val="0"/>
          <w:iCs/>
          <w:shd w:val="clear" w:color="auto" w:fill="FFFFFF"/>
        </w:rPr>
      </w:pPr>
      <w:r w:rsidRPr="003F682F">
        <w:rPr>
          <w:i w:val="0"/>
          <w:iCs/>
        </w:rPr>
        <w:t xml:space="preserve">analizy wyników </w:t>
      </w:r>
      <w:r w:rsidRPr="003F682F">
        <w:rPr>
          <w:i w:val="0"/>
          <w:iCs/>
          <w:shd w:val="clear" w:color="auto" w:fill="FFFFFF"/>
        </w:rPr>
        <w:t>własnego (wewnątrzuczelnianego) monitoringu karier zawodowych swoich absolwentów w celu dostosowania programu studiów do potrzeb rynku pracy (art. 352 ust. 14 u.s.w.).</w:t>
      </w:r>
    </w:p>
    <w:p w14:paraId="3C0EE779" w14:textId="77777777" w:rsidR="003F682F" w:rsidRPr="003F682F" w:rsidRDefault="003F682F" w:rsidP="003F682F">
      <w:pPr>
        <w:rPr>
          <w:rStyle w:val="apple-converted-space"/>
          <w:rFonts w:ascii="Verdana" w:hAnsi="Verdana"/>
        </w:rPr>
      </w:pPr>
      <w:r w:rsidRPr="003F682F">
        <w:rPr>
          <w:rStyle w:val="apple-converted-space"/>
          <w:rFonts w:ascii="Verdana" w:hAnsi="Verdana"/>
        </w:rPr>
        <w:t>Z powyższego wynika, że na etapie prowadzenia studiów na danym kierunku wpływ pracodawców na ich kształt może być:</w:t>
      </w:r>
    </w:p>
    <w:p w14:paraId="43191BAA" w14:textId="77777777" w:rsidR="003F682F" w:rsidRPr="003F682F" w:rsidRDefault="003F682F" w:rsidP="003F682F">
      <w:pPr>
        <w:pStyle w:val="Akapitzlist"/>
        <w:numPr>
          <w:ilvl w:val="0"/>
          <w:numId w:val="37"/>
        </w:numPr>
        <w:rPr>
          <w:rStyle w:val="apple-converted-space"/>
          <w:rFonts w:ascii="Verdana" w:hAnsi="Verdana"/>
          <w:i w:val="0"/>
        </w:rPr>
      </w:pPr>
      <w:r w:rsidRPr="003F682F">
        <w:rPr>
          <w:rStyle w:val="apple-converted-space"/>
          <w:rFonts w:ascii="Verdana" w:hAnsi="Verdana"/>
          <w:i w:val="0"/>
        </w:rPr>
        <w:lastRenderedPageBreak/>
        <w:t>pośredni, a to poprzez wyniki monitoringu ogólnopolskiego i wewnątrzuczelnianego;</w:t>
      </w:r>
    </w:p>
    <w:p w14:paraId="5809DD6B" w14:textId="35957E40" w:rsidR="003F682F" w:rsidRPr="003F682F" w:rsidRDefault="003F682F" w:rsidP="003F682F">
      <w:pPr>
        <w:pStyle w:val="Akapitzlist"/>
        <w:numPr>
          <w:ilvl w:val="0"/>
          <w:numId w:val="37"/>
        </w:numPr>
        <w:rPr>
          <w:rStyle w:val="apple-converted-space"/>
          <w:rFonts w:ascii="Verdana" w:hAnsi="Verdana"/>
          <w:i w:val="0"/>
        </w:rPr>
      </w:pPr>
      <w:r w:rsidRPr="003F682F">
        <w:rPr>
          <w:rStyle w:val="apple-converted-space"/>
          <w:rFonts w:ascii="Verdana" w:hAnsi="Verdana"/>
          <w:i w:val="0"/>
        </w:rPr>
        <w:t xml:space="preserve">bezpośredni, a to poprzez udział w komisjach ds. jakości kształcenia oraz komisjach ds. reformy danego kierunku studiów. </w:t>
      </w:r>
    </w:p>
    <w:p w14:paraId="0D8031B5" w14:textId="58A7F5B4" w:rsidR="003F682F" w:rsidRPr="003F682F" w:rsidRDefault="003F682F" w:rsidP="003F682F">
      <w:r w:rsidRPr="003F682F">
        <w:rPr>
          <w:rStyle w:val="apple-converted-space"/>
          <w:rFonts w:ascii="Verdana" w:hAnsi="Verdana"/>
        </w:rPr>
        <w:t xml:space="preserve">Wskazać przy tym należy, że standardy wskazane powyżej nie pozostają w sferze dyskrecjonalnych uprawnień uczelni wyższej ani tym bardziej nie można ujmować ich jako </w:t>
      </w:r>
      <w:r w:rsidRPr="003F682F">
        <w:rPr>
          <w:rStyle w:val="apple-converted-space"/>
          <w:rFonts w:ascii="Verdana" w:hAnsi="Verdana"/>
          <w:i/>
          <w:iCs/>
        </w:rPr>
        <w:t>lex imperfecta</w:t>
      </w:r>
      <w:r w:rsidRPr="003F682F">
        <w:rPr>
          <w:rStyle w:val="apple-converted-space"/>
          <w:rFonts w:ascii="Verdana" w:hAnsi="Verdana"/>
        </w:rPr>
        <w:t xml:space="preserve"> - stanowią bowiem element obowiązków prawnych i standardów jakości kształcenia, które uczelnia wyższa zobowiązana jest wypełniać. </w:t>
      </w:r>
      <w:r w:rsidRPr="003F682F">
        <w:t>Zgodnie bowiem z § 1 pkt 6 rozporządzenia z 12 września 2018 roku w sprawie kryteriów oceny programowej</w:t>
      </w:r>
      <w:r w:rsidRPr="003F682F">
        <w:rPr>
          <w:rStyle w:val="Odwoanieprzypisudolnego"/>
          <w:rFonts w:ascii="Helvetica" w:hAnsi="Helvetica"/>
        </w:rPr>
        <w:footnoteReference w:id="8"/>
      </w:r>
      <w:r w:rsidRPr="003F682F">
        <w:t>, kryteriami oceny programowej są m.in. relacje z otoczeniem społeczno-gospodarczym w odniesieniu do programu studiów. Szczegółowe kryteria dokonywania oceny programowej obejmuje z kolei Załącznik nr 2 do Statutu Polskiej Komisji Akredytacyjnej</w:t>
      </w:r>
      <w:r w:rsidRPr="003F682F">
        <w:rPr>
          <w:rStyle w:val="Odwoanieprzypisudolnego"/>
          <w:rFonts w:ascii="Helvetica" w:hAnsi="Helvetica"/>
        </w:rPr>
        <w:footnoteReference w:id="9"/>
      </w:r>
      <w:r w:rsidRPr="003F682F">
        <w:t>, który w odniesieniu do współkształtowania programu studiów przez przedstawicieli pracodawców przewiduje:</w:t>
      </w:r>
    </w:p>
    <w:p w14:paraId="52AF5660" w14:textId="537EE212" w:rsidR="003F682F" w:rsidRPr="003F682F" w:rsidRDefault="003F682F" w:rsidP="003F682F">
      <w:pPr>
        <w:pStyle w:val="Nagwek3"/>
        <w:ind w:firstLine="720"/>
        <w:rPr>
          <w:color w:val="FF0000"/>
        </w:rPr>
      </w:pPr>
      <w:r w:rsidRPr="003F682F">
        <w:rPr>
          <w:color w:val="FF0000"/>
        </w:rPr>
        <w:t>Profil ogólnoakademicki:</w:t>
      </w:r>
    </w:p>
    <w:p w14:paraId="08C6FD04" w14:textId="1BFF1B01" w:rsidR="003F682F" w:rsidRPr="003F682F" w:rsidRDefault="003F682F" w:rsidP="003F682F">
      <w:pPr>
        <w:ind w:left="720"/>
      </w:pPr>
      <w:r w:rsidRPr="003F682F">
        <w:rPr>
          <w:b/>
          <w:bCs/>
        </w:rPr>
        <w:t xml:space="preserve">Standard jakości kształcenia 1.1 - </w:t>
      </w:r>
      <w:r w:rsidRPr="003F682F">
        <w:t>Koncepcja i cele kształcenia są zgodne ze strategią uczelni, mieszczą się w dyscyplinie lub dyscyplinach, do których kierunek jest przyporządkowany, są powiązane z działalnością naukową prowadzoną w uczelni w tej dyscyplinie lub dyscyplinach oraz zorientowane na potrzeby otoczenia społeczno-gospodarczego, w tym w szczególności zawodowego rynku pracy.</w:t>
      </w:r>
    </w:p>
    <w:p w14:paraId="54E53960" w14:textId="77777777" w:rsidR="003F682F" w:rsidRPr="003F682F" w:rsidRDefault="003F682F" w:rsidP="003F682F">
      <w:pPr>
        <w:ind w:left="720"/>
      </w:pPr>
    </w:p>
    <w:p w14:paraId="69D5A1B6" w14:textId="24BBA339" w:rsidR="003F682F" w:rsidRPr="003F682F" w:rsidRDefault="003F682F" w:rsidP="003F682F">
      <w:pPr>
        <w:ind w:left="720"/>
        <w:rPr>
          <w:rFonts w:eastAsiaTheme="minorEastAsia" w:cs="Helvetica"/>
          <w:lang w:eastAsia="en-US"/>
        </w:rPr>
      </w:pPr>
      <w:r w:rsidRPr="003F682F">
        <w:rPr>
          <w:rFonts w:eastAsiaTheme="minorEastAsia" w:cs="Helvetica"/>
          <w:b/>
          <w:bCs/>
          <w:lang w:eastAsia="en-US"/>
        </w:rPr>
        <w:t>Standard jakości kształcenia 6.1</w:t>
      </w:r>
      <w:r w:rsidRPr="003F682F">
        <w:rPr>
          <w:rFonts w:eastAsiaTheme="minorEastAsia" w:cs="Helvetica"/>
          <w:lang w:eastAsia="en-US"/>
        </w:rPr>
        <w:t xml:space="preserve"> - Prowadzona jest współpraca z otoczeniem społeczno-gospodarczym, w tym z pracodawcami, w konstruowaniu programu studiów, jego realizacji oraz doskonaleniu.</w:t>
      </w:r>
    </w:p>
    <w:p w14:paraId="5DD1AAD8" w14:textId="4D717B7A" w:rsidR="003F682F" w:rsidRPr="003F682F" w:rsidRDefault="003F682F" w:rsidP="003F682F">
      <w:pPr>
        <w:ind w:left="720"/>
        <w:rPr>
          <w:rFonts w:eastAsiaTheme="minorEastAsia" w:cs="Helvetica"/>
          <w:lang w:eastAsia="en-US"/>
        </w:rPr>
      </w:pPr>
      <w:r w:rsidRPr="003F682F">
        <w:rPr>
          <w:b/>
          <w:bCs/>
        </w:rPr>
        <w:t>Standard jakości kształcenia 6.2.</w:t>
      </w:r>
      <w:r w:rsidRPr="003F682F">
        <w:t xml:space="preserve"> - </w:t>
      </w:r>
      <w:r w:rsidRPr="003F682F">
        <w:rPr>
          <w:rFonts w:eastAsiaTheme="minorEastAsia" w:cs="Helvetica"/>
          <w:lang w:eastAsia="en-US"/>
        </w:rPr>
        <w:t>Relacje z otoczeniem społeczno-gospodarczym w odniesieniu do programu studiów i wpływ tego otoczenia na program i jego realizację podlegają systematycznym ocenom, z udziałem studentów, a wyniki tych ocen są wykorzystywane w działaniach doskonalących.</w:t>
      </w:r>
    </w:p>
    <w:p w14:paraId="7FB383CB" w14:textId="300EECD6" w:rsidR="003F682F" w:rsidRPr="003F682F" w:rsidRDefault="003F682F" w:rsidP="003F682F">
      <w:pPr>
        <w:ind w:left="720"/>
        <w:rPr>
          <w:b/>
          <w:bCs/>
        </w:rPr>
      </w:pPr>
      <w:r w:rsidRPr="003F682F">
        <w:rPr>
          <w:b/>
          <w:bCs/>
        </w:rPr>
        <w:t xml:space="preserve">Standard jakości kształcenia 10.1 - </w:t>
      </w:r>
      <w:r w:rsidRPr="003F682F">
        <w:t>Zostały formalnie przyjęte i są stosowane zasady projektowania, zatwierdzania i zmiany programu studiów oraz prowadzone są systematyczne oceny programu studiów oparte</w:t>
      </w:r>
      <w:r w:rsidRPr="003F682F">
        <w:rPr>
          <w:b/>
          <w:bCs/>
        </w:rPr>
        <w:t xml:space="preserve"> </w:t>
      </w:r>
      <w:r w:rsidRPr="003F682F">
        <w:t>o wyniki analizy wiarygodnych danych i informacji, z udziałem interesariuszy wewnętrznych, w tym studentów oraz zewnętrznych, mające na celu doskonalenie jakości kształcenia.</w:t>
      </w:r>
    </w:p>
    <w:p w14:paraId="24D3F5C3" w14:textId="77777777" w:rsidR="003F682F" w:rsidRPr="003F682F" w:rsidRDefault="003F682F" w:rsidP="003F682F">
      <w:pPr>
        <w:pStyle w:val="Nagwek3"/>
        <w:rPr>
          <w:color w:val="5F5F5F" w:themeColor="text2" w:themeTint="BF"/>
        </w:rPr>
      </w:pPr>
    </w:p>
    <w:p w14:paraId="685F57C7" w14:textId="1AD0AAEE" w:rsidR="003F682F" w:rsidRPr="003F682F" w:rsidRDefault="003F682F" w:rsidP="003F682F">
      <w:pPr>
        <w:pStyle w:val="Nagwek3"/>
        <w:ind w:left="720"/>
        <w:rPr>
          <w:color w:val="FF0000"/>
        </w:rPr>
      </w:pPr>
      <w:r w:rsidRPr="003F682F">
        <w:rPr>
          <w:color w:val="FF0000"/>
        </w:rPr>
        <w:t>Profil praktyczny</w:t>
      </w:r>
    </w:p>
    <w:p w14:paraId="1332BB59" w14:textId="523A35F7" w:rsidR="003F682F" w:rsidRPr="003F682F" w:rsidRDefault="003F682F" w:rsidP="003F682F">
      <w:pPr>
        <w:ind w:left="720"/>
        <w:rPr>
          <w:rFonts w:eastAsiaTheme="minorEastAsia" w:cs="Helvetica"/>
          <w:lang w:eastAsia="en-US"/>
        </w:rPr>
      </w:pPr>
      <w:r w:rsidRPr="003F682F">
        <w:rPr>
          <w:rFonts w:eastAsiaTheme="minorEastAsia" w:cs="Helvetica"/>
          <w:b/>
          <w:bCs/>
          <w:lang w:eastAsia="en-US"/>
        </w:rPr>
        <w:t>Standard jakości kształcenia 1.1</w:t>
      </w:r>
      <w:r w:rsidRPr="003F682F">
        <w:rPr>
          <w:rFonts w:eastAsiaTheme="minorEastAsia" w:cs="Helvetica"/>
          <w:lang w:eastAsia="en-US"/>
        </w:rPr>
        <w:t xml:space="preserve"> - Koncepcja i cele kształcenia są zgodne ze strategią uczelni, mieszczą się w dyscyplinie lub dyscyplinach, do których kierunek jest przyporządkowany, uwzględniają postęp w obszarach działalności zawodowej/gospodarczej właściwych dla kierunku, oraz są zorientowane na potrzeby otoczenia społeczno-gospodarczego, w tym w szczególności zawodowego rynku pracy.</w:t>
      </w:r>
    </w:p>
    <w:p w14:paraId="1C49FBCF" w14:textId="77777777" w:rsidR="003F682F" w:rsidRPr="003F682F" w:rsidRDefault="003F682F" w:rsidP="003F682F">
      <w:pPr>
        <w:ind w:left="720"/>
        <w:rPr>
          <w:rFonts w:eastAsiaTheme="minorEastAsia" w:cs="Helvetica"/>
          <w:lang w:eastAsia="en-US"/>
        </w:rPr>
      </w:pPr>
      <w:r w:rsidRPr="003F682F">
        <w:rPr>
          <w:rFonts w:eastAsiaTheme="minorEastAsia" w:cs="Helvetica"/>
          <w:b/>
          <w:bCs/>
          <w:lang w:eastAsia="en-US"/>
        </w:rPr>
        <w:t>Standard jakości kształcenia 2.1.</w:t>
      </w:r>
      <w:r w:rsidRPr="003F682F">
        <w:rPr>
          <w:rFonts w:eastAsiaTheme="minorEastAsia" w:cs="Helvetica"/>
          <w:lang w:eastAsia="en-US"/>
        </w:rPr>
        <w:t xml:space="preserve"> - Treści programowe są zgodne z efektami uczenia się oraz uwzględniają aktualną wiedzę i jej zastosowania z zakresu dyscypliny lub dyscyplin, do których kierunek jest przyporządkowany, normy i zasady, a także aktualny stan praktyki w obszarach działalności zawodowej/</w:t>
      </w:r>
    </w:p>
    <w:p w14:paraId="110B4608" w14:textId="1E3525D7" w:rsidR="003F682F" w:rsidRPr="003F682F" w:rsidRDefault="003F682F" w:rsidP="003F682F">
      <w:pPr>
        <w:ind w:left="720"/>
        <w:rPr>
          <w:rFonts w:eastAsiaTheme="minorEastAsia" w:cs="Helvetica"/>
          <w:lang w:eastAsia="en-US"/>
        </w:rPr>
      </w:pPr>
      <w:r w:rsidRPr="003F682F">
        <w:rPr>
          <w:rFonts w:eastAsiaTheme="minorEastAsia" w:cs="Helvetica"/>
          <w:lang w:eastAsia="en-US"/>
        </w:rPr>
        <w:lastRenderedPageBreak/>
        <w:t>gospodarczej oraz zawodowego rynku pracy właściwych dla kierunku.</w:t>
      </w:r>
    </w:p>
    <w:p w14:paraId="6E4B4273" w14:textId="58412917" w:rsidR="003F682F" w:rsidRPr="003F682F" w:rsidRDefault="003F682F" w:rsidP="003F682F">
      <w:pPr>
        <w:ind w:left="720"/>
        <w:rPr>
          <w:rFonts w:eastAsiaTheme="minorEastAsia" w:cs="Helvetica"/>
          <w:lang w:eastAsia="en-US"/>
        </w:rPr>
      </w:pPr>
      <w:r w:rsidRPr="003F682F">
        <w:rPr>
          <w:rFonts w:eastAsiaTheme="minorEastAsia" w:cs="Helvetica"/>
          <w:b/>
          <w:bCs/>
          <w:lang w:eastAsia="en-US"/>
        </w:rPr>
        <w:t>Standard jakości kształcenia 6.1</w:t>
      </w:r>
      <w:r w:rsidRPr="003F682F">
        <w:rPr>
          <w:rFonts w:eastAsiaTheme="minorEastAsia" w:cs="Helvetica"/>
          <w:lang w:eastAsia="en-US"/>
        </w:rPr>
        <w:t xml:space="preserve"> - Prowadzona jest współpraca z otoczeniem społeczno-gospodarczym, w tym z pracodawcami, w konstruowaniu programu studiów, jego realizacji oraz doskonaleniu.</w:t>
      </w:r>
    </w:p>
    <w:p w14:paraId="5C3BC4F9" w14:textId="77777777" w:rsidR="003F682F" w:rsidRPr="003F682F" w:rsidRDefault="003F682F" w:rsidP="003F682F">
      <w:pPr>
        <w:ind w:left="720"/>
        <w:rPr>
          <w:rFonts w:eastAsiaTheme="minorEastAsia" w:cs="Helvetica"/>
          <w:lang w:eastAsia="en-US"/>
        </w:rPr>
      </w:pPr>
      <w:r w:rsidRPr="003F682F">
        <w:rPr>
          <w:rFonts w:eastAsiaTheme="minorEastAsia" w:cs="Helvetica"/>
          <w:b/>
          <w:bCs/>
          <w:lang w:eastAsia="en-US"/>
        </w:rPr>
        <w:t>Standard jakości kształcenia 6.2</w:t>
      </w:r>
      <w:r w:rsidRPr="003F682F">
        <w:rPr>
          <w:rFonts w:eastAsiaTheme="minorEastAsia" w:cs="Helvetica"/>
          <w:lang w:eastAsia="en-US"/>
        </w:rPr>
        <w:t xml:space="preserve"> - Relacje z otoczeniem społeczno-gospodarczym w odniesieniu do programu studiów i wpływ tego otoczenia na program i jego realizację podlegają systematycznym ocenom, z  udziałem</w:t>
      </w:r>
    </w:p>
    <w:p w14:paraId="3705C613" w14:textId="56D2462C" w:rsidR="003F682F" w:rsidRPr="003F682F" w:rsidRDefault="003F682F" w:rsidP="003F682F">
      <w:pPr>
        <w:ind w:left="720"/>
        <w:rPr>
          <w:rFonts w:eastAsiaTheme="minorEastAsia" w:cs="Helvetica"/>
          <w:lang w:eastAsia="en-US"/>
        </w:rPr>
      </w:pPr>
      <w:r w:rsidRPr="003F682F">
        <w:rPr>
          <w:rFonts w:eastAsiaTheme="minorEastAsia" w:cs="Helvetica"/>
          <w:lang w:eastAsia="en-US"/>
        </w:rPr>
        <w:t>studentów, a wyniki tych ocen są wykorzystywane w działaniach doskonalących.</w:t>
      </w:r>
    </w:p>
    <w:p w14:paraId="738C889D" w14:textId="77777777" w:rsidR="003F682F" w:rsidRPr="003F682F" w:rsidRDefault="003F682F" w:rsidP="003F682F">
      <w:pPr>
        <w:ind w:left="720"/>
        <w:rPr>
          <w:rFonts w:eastAsiaTheme="minorEastAsia" w:cs="Helvetica"/>
          <w:lang w:eastAsia="en-US"/>
        </w:rPr>
      </w:pPr>
      <w:r w:rsidRPr="003F682F">
        <w:rPr>
          <w:rFonts w:eastAsiaTheme="minorEastAsia" w:cs="Helvetica"/>
          <w:b/>
          <w:bCs/>
          <w:lang w:eastAsia="en-US"/>
        </w:rPr>
        <w:t>Standard jakości kształcenia 10.1</w:t>
      </w:r>
      <w:r w:rsidRPr="003F682F">
        <w:rPr>
          <w:rFonts w:eastAsiaTheme="minorEastAsia" w:cs="Helvetica"/>
          <w:lang w:eastAsia="en-US"/>
        </w:rPr>
        <w:t xml:space="preserve"> - Zostały formalnie przyjęte i są stosowane zasady projektowania, zatwierdzania i zmiany programu studiów oraz prowadzone są systematyczne oceny programu studiów oparte o wyniki analizy wiarygodnych danych i informacji, z udziałem interesariuszy wewnętrznych, w tym studentów oraz zewnętrznych, mające na celu doskonalenie jakości kształcenia.</w:t>
      </w:r>
    </w:p>
    <w:p w14:paraId="7161D456" w14:textId="77777777" w:rsidR="003F682F" w:rsidRPr="003F682F" w:rsidRDefault="003F682F" w:rsidP="003F682F">
      <w:pPr>
        <w:spacing w:line="276" w:lineRule="auto"/>
        <w:ind w:left="720"/>
        <w:jc w:val="both"/>
        <w:rPr>
          <w:rStyle w:val="apple-converted-space"/>
          <w:rFonts w:ascii="Helvetica" w:hAnsi="Helvetica"/>
        </w:rPr>
      </w:pPr>
    </w:p>
    <w:p w14:paraId="5E4DAA03" w14:textId="77777777" w:rsidR="00373BDA" w:rsidRPr="003F682F" w:rsidRDefault="00373BDA" w:rsidP="003F682F">
      <w:pPr>
        <w:ind w:left="720"/>
        <w:rPr>
          <w:rFonts w:asciiTheme="majorHAnsi" w:eastAsiaTheme="majorEastAsia" w:hAnsiTheme="majorHAnsi" w:cstheme="majorBidi"/>
          <w:b/>
          <w:caps/>
          <w:sz w:val="52"/>
          <w:szCs w:val="52"/>
        </w:rPr>
      </w:pPr>
      <w:r w:rsidRPr="003F682F">
        <w:rPr>
          <w:sz w:val="52"/>
          <w:szCs w:val="52"/>
        </w:rPr>
        <w:br w:type="page"/>
      </w:r>
    </w:p>
    <w:p w14:paraId="7C08FF6A" w14:textId="648011C6" w:rsidR="00373BDA" w:rsidRPr="003F682F" w:rsidRDefault="00373BDA" w:rsidP="00373BDA">
      <w:pPr>
        <w:pStyle w:val="Nagwek1"/>
        <w:spacing w:before="600" w:after="800"/>
        <w:rPr>
          <w:color w:val="FF0000"/>
          <w:sz w:val="52"/>
          <w:szCs w:val="52"/>
        </w:rPr>
      </w:pPr>
      <w:bookmarkStart w:id="5" w:name="_Toc154588186"/>
      <w:r w:rsidRPr="003F682F">
        <w:rPr>
          <w:color w:val="FF0000"/>
          <w:sz w:val="52"/>
          <w:szCs w:val="52"/>
        </w:rPr>
        <w:lastRenderedPageBreak/>
        <w:t>Ocena kierunków studiów przez PKA</w:t>
      </w:r>
      <w:bookmarkEnd w:id="5"/>
    </w:p>
    <w:p w14:paraId="10F2C6E3" w14:textId="5B1BF3DF" w:rsidR="003F682F" w:rsidRDefault="003F682F" w:rsidP="003F682F">
      <w:r w:rsidRPr="00C017C8">
        <w:t>Przepisy prawa powszechnie obowiązującego przewidują system gwarancji ukierunkowanych na zapewnienie realizacji wymagań przewidzianych w ustawie o szkolnictwie wyższym i nauce. Z tych też przyczyn art. 241 ust. 1 u.o.s.w. stanowi, że jakość kształcenia na studiach podlega ewaluacji przeprowadzanej przez PKA. Ewaluacji dokonuje się w formie oceny programowej lub oceny kompleksowej</w:t>
      </w:r>
      <w:r w:rsidR="00570516">
        <w:t>.</w:t>
      </w:r>
    </w:p>
    <w:p w14:paraId="402F7FD2" w14:textId="4B01E0E7" w:rsidR="00DA655C" w:rsidRPr="00570516" w:rsidRDefault="0067519B" w:rsidP="003F682F">
      <w:r>
        <w:t>Co istotne w procesie oceny programowej, w świetle wzorca wyznaczonego przytoczonymi powyżej standardami, biorą udział także przedstawiciele pracodawców</w:t>
      </w:r>
      <w:r w:rsidR="009629FF">
        <w:t>. Ich udział zapewniony jest poprzez odpowiedni</w:t>
      </w:r>
      <w:r w:rsidR="00724C2A">
        <w:t>e ukształtowanie</w:t>
      </w:r>
      <w:r w:rsidR="003F682F">
        <w:t xml:space="preserve"> skład</w:t>
      </w:r>
      <w:r w:rsidR="00DF17CD">
        <w:t>u</w:t>
      </w:r>
      <w:r w:rsidR="003F682F">
        <w:t xml:space="preserve"> Polskiej Komisji Akredytacyjnej (zob. art. 251 u.s.w.). </w:t>
      </w:r>
      <w:r w:rsidR="009629FF">
        <w:t>Otóż k</w:t>
      </w:r>
      <w:r w:rsidR="003F682F" w:rsidRPr="00C070D9">
        <w:t xml:space="preserve">andydatów na członków PKA mogą </w:t>
      </w:r>
      <w:r w:rsidR="009629FF">
        <w:t>zgłaszać także</w:t>
      </w:r>
      <w:r w:rsidR="003F682F" w:rsidRPr="00C070D9">
        <w:t xml:space="preserve"> organizacje pracodawców.</w:t>
      </w:r>
      <w:r w:rsidR="003F682F">
        <w:t xml:space="preserve"> K</w:t>
      </w:r>
      <w:r w:rsidR="003F682F" w:rsidRPr="00C070D9">
        <w:t>andydat zgłoszon</w:t>
      </w:r>
      <w:r w:rsidR="003F682F">
        <w:t>y</w:t>
      </w:r>
      <w:r w:rsidR="003F682F" w:rsidRPr="00C070D9">
        <w:t xml:space="preserve"> przez organizację pracodawców </w:t>
      </w:r>
      <w:r w:rsidR="003F682F">
        <w:t xml:space="preserve">powinien mieć co najmniej </w:t>
      </w:r>
      <w:r w:rsidR="003F682F" w:rsidRPr="00C070D9">
        <w:t>wykształcenie wyższe</w:t>
      </w:r>
      <w:r w:rsidR="003F682F">
        <w:t>.</w:t>
      </w:r>
    </w:p>
    <w:p w14:paraId="0C81500C" w14:textId="19313CF0" w:rsidR="00373BDA" w:rsidRPr="003F682F" w:rsidRDefault="00DA655C" w:rsidP="00DA655C">
      <w:pPr>
        <w:pStyle w:val="Nagwek1"/>
        <w:spacing w:before="600" w:after="800"/>
        <w:rPr>
          <w:color w:val="FF0000"/>
          <w:sz w:val="52"/>
          <w:szCs w:val="52"/>
        </w:rPr>
      </w:pPr>
      <w:bookmarkStart w:id="6" w:name="_Toc154588187"/>
      <w:r w:rsidRPr="003F682F">
        <w:rPr>
          <w:color w:val="FF0000"/>
          <w:sz w:val="52"/>
          <w:szCs w:val="52"/>
        </w:rPr>
        <w:t>Popyt</w:t>
      </w:r>
      <w:bookmarkEnd w:id="6"/>
      <w:r w:rsidR="00570516" w:rsidRPr="00570516">
        <w:rPr>
          <w:rFonts w:ascii="Helvetica" w:eastAsia="Times New Roman" w:hAnsi="Helvetica" w:cs="Times New Roman"/>
          <w:bCs/>
          <w:caps w:val="0"/>
          <w:color w:val="000000" w:themeColor="text1"/>
          <w:sz w:val="24"/>
          <w:szCs w:val="24"/>
          <w:lang w:eastAsia="pl-PL" w:bidi="ar-SA"/>
        </w:rPr>
        <w:t xml:space="preserve"> </w:t>
      </w:r>
      <w:r w:rsidR="00570516" w:rsidRPr="00570516">
        <w:rPr>
          <w:bCs/>
          <w:color w:val="FF0000"/>
          <w:sz w:val="52"/>
          <w:szCs w:val="52"/>
        </w:rPr>
        <w:t>na wysoko wykwalifikowanych pracowników</w:t>
      </w:r>
    </w:p>
    <w:p w14:paraId="4266260A" w14:textId="221DDD61" w:rsidR="00570516" w:rsidRPr="001F0323" w:rsidRDefault="00570516" w:rsidP="00570516">
      <w:pPr>
        <w:rPr>
          <w:color w:val="000000"/>
        </w:rPr>
      </w:pPr>
      <w:bookmarkStart w:id="7" w:name="_Toc154588188"/>
      <w:r w:rsidRPr="003F1F7B">
        <w:t>Coraz częściej misją pracodawców w Polsce staje się budowa inkluzywnego środowiska pracy</w:t>
      </w:r>
      <w:r>
        <w:t xml:space="preserve">, czego istoty upatrywać należy w otwarciu się na </w:t>
      </w:r>
      <w:r w:rsidRPr="003F1F7B">
        <w:t>różnorodność.</w:t>
      </w:r>
      <w:r>
        <w:t xml:space="preserve"> Dla części podmiotów rozwój tego elementu </w:t>
      </w:r>
      <w:r w:rsidRPr="00A86631">
        <w:t>polityki ESG (</w:t>
      </w:r>
      <w:r w:rsidRPr="00A86631">
        <w:rPr>
          <w:i/>
          <w:iCs/>
        </w:rPr>
        <w:t>Environment, Society and Governance</w:t>
      </w:r>
      <w:r w:rsidRPr="00A86631">
        <w:t>)</w:t>
      </w:r>
      <w:r>
        <w:rPr>
          <w:rStyle w:val="Odwoanieprzypisudolnego"/>
          <w:rFonts w:ascii="Helvetica" w:hAnsi="Helvetica"/>
          <w:color w:val="000000" w:themeColor="text1"/>
        </w:rPr>
        <w:footnoteReference w:id="10"/>
      </w:r>
      <w:r>
        <w:t xml:space="preserve"> </w:t>
      </w:r>
      <w:r>
        <w:lastRenderedPageBreak/>
        <w:t>stanowi obszar wdrażania reguł ładu korporacyjnego (</w:t>
      </w:r>
      <w:r w:rsidRPr="00A86631">
        <w:rPr>
          <w:i/>
          <w:iCs/>
        </w:rPr>
        <w:t>good governance</w:t>
      </w:r>
      <w:r>
        <w:t xml:space="preserve">). U innych wewnętrzna motywacja i przekonanie, </w:t>
      </w:r>
      <w:r w:rsidRPr="003F1F7B">
        <w:t>że polityka różnorodności jest korzystna dla biznesu</w:t>
      </w:r>
      <w:r w:rsidRPr="003F1F7B">
        <w:rPr>
          <w:rStyle w:val="Odwoanieprzypisudolnego"/>
          <w:rFonts w:ascii="Helvetica" w:hAnsi="Helvetica"/>
          <w:color w:val="000000" w:themeColor="text1"/>
        </w:rPr>
        <w:footnoteReference w:id="11"/>
      </w:r>
      <w:r w:rsidRPr="003F1F7B">
        <w:t>, ponieważ pozwala uzyskać dostęp do pracownik</w:t>
      </w:r>
      <w:r>
        <w:t xml:space="preserve">ów </w:t>
      </w:r>
      <w:r w:rsidRPr="003F1F7B">
        <w:t xml:space="preserve">o zróżnicowanych, w tym unikatowych talentach. </w:t>
      </w:r>
      <w:r>
        <w:t xml:space="preserve"> Pracownicy z niepełnosprawnościami czy też pracownicy neuroróżnorodni z uwagi na bogate i unikatowe doświadczenie często wprowadzaj </w:t>
      </w:r>
      <w:r w:rsidR="001F0323">
        <w:t>kreatywne</w:t>
      </w:r>
      <w:r>
        <w:t xml:space="preserve"> pomysły i rozwiązania, stając się pionierami innowacji w korporacji</w:t>
      </w:r>
      <w:r>
        <w:rPr>
          <w:rStyle w:val="Odwoanieprzypisudolnego"/>
          <w:rFonts w:ascii="Helvetica" w:hAnsi="Helvetica"/>
          <w:color w:val="000000" w:themeColor="text1"/>
        </w:rPr>
        <w:footnoteReference w:id="12"/>
      </w:r>
      <w:r>
        <w:t>.</w:t>
      </w:r>
      <w:r w:rsidRPr="003F1F7B">
        <w:t xml:space="preserve"> Na</w:t>
      </w:r>
      <w:r>
        <w:t xml:space="preserve"> docenienie potencjału pracowników z różnorodnymi potrzebami, w tym z niepełnosprawnościami</w:t>
      </w:r>
      <w:r w:rsidRPr="003F1F7B">
        <w:t xml:space="preserve"> wpływa</w:t>
      </w:r>
      <w:r>
        <w:t>ją</w:t>
      </w:r>
      <w:r w:rsidRPr="003F1F7B">
        <w:t xml:space="preserve"> </w:t>
      </w:r>
      <w:r>
        <w:t>również</w:t>
      </w:r>
      <w:r w:rsidRPr="003F1F7B">
        <w:t xml:space="preserve"> </w:t>
      </w:r>
      <w:r w:rsidRPr="00570516">
        <w:t>negatywne trendy demograficzne i utrzymująca się niska stopa bezrobocia</w:t>
      </w:r>
      <w:r w:rsidRPr="001F0323">
        <w:rPr>
          <w:vertAlign w:val="superscript"/>
        </w:rPr>
        <w:footnoteReference w:id="13"/>
      </w:r>
      <w:r w:rsidRPr="00570516">
        <w:t>. Wskazuje się ponadto, że już co piąty pracownik jest osobą z neroróznordonością</w:t>
      </w:r>
      <w:r w:rsidRPr="001F0323">
        <w:rPr>
          <w:vertAlign w:val="superscript"/>
        </w:rPr>
        <w:footnoteReference w:id="14"/>
      </w:r>
      <w:r w:rsidRPr="00570516">
        <w:t>. Marki, które z powodzeniem wdrożyły model tworzenia środowiska pracy oparty na inkluzywności, zyskały sposób na zwiększenie efektywności w biznesie, a także employer brandingowe narzędzie do dbania o zespół</w:t>
      </w:r>
      <w:r w:rsidRPr="001F0323">
        <w:rPr>
          <w:vertAlign w:val="superscript"/>
        </w:rPr>
        <w:footnoteReference w:id="15"/>
      </w:r>
      <w:r w:rsidRPr="001F0323">
        <w:rPr>
          <w:vertAlign w:val="superscript"/>
        </w:rPr>
        <w:t>.</w:t>
      </w:r>
    </w:p>
    <w:p w14:paraId="05E16854" w14:textId="6EF4FEE9" w:rsidR="00DA655C" w:rsidRPr="00570516" w:rsidRDefault="00DA655C" w:rsidP="00DA655C">
      <w:pPr>
        <w:pStyle w:val="Nagwek1"/>
        <w:spacing w:before="600" w:after="800"/>
        <w:rPr>
          <w:color w:val="FF0000"/>
          <w:sz w:val="52"/>
          <w:szCs w:val="52"/>
        </w:rPr>
      </w:pPr>
      <w:r w:rsidRPr="00570516">
        <w:rPr>
          <w:color w:val="FF0000"/>
          <w:sz w:val="52"/>
          <w:szCs w:val="52"/>
        </w:rPr>
        <w:t>Podsumowanie</w:t>
      </w:r>
      <w:bookmarkEnd w:id="7"/>
    </w:p>
    <w:p w14:paraId="4726FBC9" w14:textId="51393F26" w:rsidR="001F0323" w:rsidRDefault="001F0323" w:rsidP="001F0323">
      <w:r>
        <w:t>Cechą charakterystyczną strategii różnorodności i inkluzywności</w:t>
      </w:r>
      <w:r>
        <w:rPr>
          <w:rStyle w:val="Odwoanieprzypisudolnego"/>
          <w:rFonts w:ascii="Helvetica" w:hAnsi="Helvetica"/>
          <w:color w:val="000000" w:themeColor="text1"/>
        </w:rPr>
        <w:footnoteReference w:id="16"/>
      </w:r>
      <w:r>
        <w:t xml:space="preserve"> jest postawa proaktywna pracodawców na etapie poszukiwania pracownika. Zazwyczaj pomijany jest etap wcześniejszy, a to „współwykształcenie” sylwetki studenta-absolwenta na rynek pracy. </w:t>
      </w:r>
      <w:r w:rsidR="008A2D78">
        <w:t>W tym właśnie obszarze naświetlenia wymaga</w:t>
      </w:r>
      <w:r>
        <w:t xml:space="preserve"> rola i potencjał </w:t>
      </w:r>
      <w:r>
        <w:lastRenderedPageBreak/>
        <w:t>szkolnictwa wyższego w Polsce, którego</w:t>
      </w:r>
      <w:r w:rsidR="008A2D78">
        <w:t xml:space="preserve"> podstawy prawne funkcjonowania</w:t>
      </w:r>
      <w:r>
        <w:t xml:space="preserve"> otwarte są na współpracę z pracodawcami. Należy podkreślić, że współpraca ta może nie ograniczać się li tylko - jak to często bywa w praktyce - do  organizacji praktyk, staży zawodowych i współpracy z Biurami Karier</w:t>
      </w:r>
      <w:r>
        <w:rPr>
          <w:rStyle w:val="Odwoanieprzypisudolnego"/>
          <w:rFonts w:ascii="Helvetica" w:hAnsi="Helvetica"/>
          <w:color w:val="000000" w:themeColor="text1"/>
        </w:rPr>
        <w:footnoteReference w:id="17"/>
      </w:r>
      <w:r>
        <w:t>, ale także do aktywnego współtworzenia programów studiów. Dlaczego okoliczność ta jest tak ważna dla studentów z niepełnosprawnościami? Ponieważ kształt programów studiów, a w ślad za tym sylabusy oferowanych przedmiotów mogą nie być dostępne, a tym samym ograniczać lub zamykać drogę do kształcenia wyższego dla szeregu osób o wyjątkowych talentach i zdolnościach. Aktywny udział w współtworzeniu programów studiów przez przedstawicieli pracodawców pozwoli ukazać, które kompetencje i umiejętności rzeczywiście na rynku pracy są poszukiwane, a które są irrelewantne. Gdyby te ostatnie, a zatem irrelewantne (jak np. w konkretnym przypadku: zdolność wejścia samodzielnego po schodach, własnoręcznego napisania wyrazu lub znaku graficznego) były bezwzględnie wymagane i tworzyły bariery w usłudze edukacyjnej nie dającej się usunąć w trybie racjonalnych usprawnień procesu kształcenia, to mielibyśmy do czynienia z nieuzasadnionym zamykaniem drogi do kształcenia</w:t>
      </w:r>
      <w:r w:rsidR="00536DE3">
        <w:t xml:space="preserve"> stanowiącym zaprzeczenie</w:t>
      </w:r>
      <w:r>
        <w:t xml:space="preserve"> </w:t>
      </w:r>
      <w:r w:rsidRPr="00367C45">
        <w:t>uczestnictw</w:t>
      </w:r>
      <w:r w:rsidR="00536DE3">
        <w:t>a</w:t>
      </w:r>
      <w:r>
        <w:t xml:space="preserve"> uczelni wyższej </w:t>
      </w:r>
      <w:r w:rsidRPr="00367C45">
        <w:t>w rozwoju społecznym oraz tworzeniu gospodarki opartej na innowacjach</w:t>
      </w:r>
      <w:r>
        <w:t xml:space="preserve"> (art. 2 u.o.s.w.).  Aktywny udział pracodawców w tworzeniu programów studiów jest niezbędny aby zestawić akademickie wyobrażenia o oczekiwaniach rynku pracy, z ich rzeczywistym, acz nie w pełni „akademickim kształtem”. </w:t>
      </w:r>
    </w:p>
    <w:p w14:paraId="0FB63B50" w14:textId="27DF9369" w:rsidR="00DA655C" w:rsidRPr="003F682F" w:rsidRDefault="00DA655C" w:rsidP="001F0323"/>
    <w:sectPr w:rsidR="00DA655C" w:rsidRPr="003F682F" w:rsidSect="001F162E"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7D5C3" w14:textId="77777777" w:rsidR="004028A5" w:rsidRDefault="004028A5">
      <w:pPr>
        <w:spacing w:after="0" w:line="240" w:lineRule="auto"/>
      </w:pPr>
      <w:r>
        <w:separator/>
      </w:r>
    </w:p>
  </w:endnote>
  <w:endnote w:type="continuationSeparator" w:id="0">
    <w:p w14:paraId="773B834E" w14:textId="77777777" w:rsidR="004028A5" w:rsidRDefault="0040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6392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835235" w14:textId="77777777" w:rsidR="009E4642" w:rsidRDefault="00816F0E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7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4EB9" w14:textId="5ED75EDE" w:rsidR="00D355AE" w:rsidRDefault="00D355AE">
    <w:pPr>
      <w:pStyle w:val="Stopka"/>
    </w:pPr>
    <w:r w:rsidRPr="00D355AE">
      <w:rPr>
        <w:noProof/>
      </w:rPr>
      <w:drawing>
        <wp:anchor distT="0" distB="0" distL="114300" distR="114300" simplePos="0" relativeHeight="251661312" behindDoc="0" locked="0" layoutInCell="1" allowOverlap="1" wp14:anchorId="21051E0C" wp14:editId="605DF6D6">
          <wp:simplePos x="0" y="0"/>
          <wp:positionH relativeFrom="column">
            <wp:posOffset>4227830</wp:posOffset>
          </wp:positionH>
          <wp:positionV relativeFrom="paragraph">
            <wp:posOffset>-44450</wp:posOffset>
          </wp:positionV>
          <wp:extent cx="2023110" cy="652145"/>
          <wp:effectExtent l="0" t="0" r="0" b="0"/>
          <wp:wrapNone/>
          <wp:docPr id="8" name="Obraz 3">
            <a:extLst xmlns:a="http://schemas.openxmlformats.org/drawingml/2006/main">
              <a:ext uri="{FF2B5EF4-FFF2-40B4-BE49-F238E27FC236}">
                <a16:creationId xmlns:a16="http://schemas.microsoft.com/office/drawing/2014/main" id="{B437C296-F9C8-A348-CF17-AAFE945040DA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3">
                    <a:extLst>
                      <a:ext uri="{FF2B5EF4-FFF2-40B4-BE49-F238E27FC236}">
                        <a16:creationId xmlns:a16="http://schemas.microsoft.com/office/drawing/2014/main" id="{B437C296-F9C8-A348-CF17-AAFE945040DA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55AE">
      <w:rPr>
        <w:noProof/>
      </w:rPr>
      <w:drawing>
        <wp:anchor distT="0" distB="0" distL="114300" distR="114300" simplePos="0" relativeHeight="251660288" behindDoc="0" locked="0" layoutInCell="1" allowOverlap="1" wp14:anchorId="7941201B" wp14:editId="6D8D4A08">
          <wp:simplePos x="0" y="0"/>
          <wp:positionH relativeFrom="column">
            <wp:posOffset>1554480</wp:posOffset>
          </wp:positionH>
          <wp:positionV relativeFrom="paragraph">
            <wp:posOffset>-37465</wp:posOffset>
          </wp:positionV>
          <wp:extent cx="2221230" cy="652145"/>
          <wp:effectExtent l="0" t="0" r="0" b="0"/>
          <wp:wrapNone/>
          <wp:docPr id="5" name="Obraz 2">
            <a:extLst xmlns:a="http://schemas.openxmlformats.org/drawingml/2006/main">
              <a:ext uri="{FF2B5EF4-FFF2-40B4-BE49-F238E27FC236}">
                <a16:creationId xmlns:a16="http://schemas.microsoft.com/office/drawing/2014/main" id="{99BAED20-6842-B7DB-8E17-81F2C74AA230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">
                    <a:extLst>
                      <a:ext uri="{FF2B5EF4-FFF2-40B4-BE49-F238E27FC236}">
                        <a16:creationId xmlns:a16="http://schemas.microsoft.com/office/drawing/2014/main" id="{99BAED20-6842-B7DB-8E17-81F2C74AA230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23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55AE">
      <w:rPr>
        <w:noProof/>
      </w:rPr>
      <w:drawing>
        <wp:anchor distT="0" distB="0" distL="114300" distR="114300" simplePos="0" relativeHeight="251659264" behindDoc="0" locked="0" layoutInCell="1" allowOverlap="1" wp14:anchorId="329628A6" wp14:editId="2263E678">
          <wp:simplePos x="0" y="0"/>
          <wp:positionH relativeFrom="column">
            <wp:posOffset>-989584</wp:posOffset>
          </wp:positionH>
          <wp:positionV relativeFrom="paragraph">
            <wp:posOffset>-44259</wp:posOffset>
          </wp:positionV>
          <wp:extent cx="1748162" cy="652229"/>
          <wp:effectExtent l="0" t="0" r="0" b="0"/>
          <wp:wrapNone/>
          <wp:docPr id="4" name="Obraz 1">
            <a:extLst xmlns:a="http://schemas.openxmlformats.org/drawingml/2006/main">
              <a:ext uri="{FF2B5EF4-FFF2-40B4-BE49-F238E27FC236}">
                <a16:creationId xmlns:a16="http://schemas.microsoft.com/office/drawing/2014/main" id="{58FF6316-21DA-6864-73CE-50B30247D9A1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>
                    <a:extLst>
                      <a:ext uri="{FF2B5EF4-FFF2-40B4-BE49-F238E27FC236}">
                        <a16:creationId xmlns:a16="http://schemas.microsoft.com/office/drawing/2014/main" id="{58FF6316-21DA-6864-73CE-50B30247D9A1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162" cy="6522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03BB4" w14:textId="77777777" w:rsidR="004028A5" w:rsidRDefault="004028A5">
      <w:pPr>
        <w:spacing w:after="0" w:line="240" w:lineRule="auto"/>
      </w:pPr>
      <w:r>
        <w:separator/>
      </w:r>
    </w:p>
  </w:footnote>
  <w:footnote w:type="continuationSeparator" w:id="0">
    <w:p w14:paraId="4F31D1AA" w14:textId="77777777" w:rsidR="004028A5" w:rsidRDefault="004028A5">
      <w:pPr>
        <w:spacing w:after="0" w:line="240" w:lineRule="auto"/>
      </w:pPr>
      <w:r>
        <w:continuationSeparator/>
      </w:r>
    </w:p>
  </w:footnote>
  <w:footnote w:id="1">
    <w:p w14:paraId="0067C653" w14:textId="77777777" w:rsidR="00904705" w:rsidRPr="001F0323" w:rsidRDefault="00904705" w:rsidP="001F0323">
      <w:pPr>
        <w:pStyle w:val="Tekstprzypisudolneg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1F0323">
        <w:rPr>
          <w:rStyle w:val="Odwoanieprzypisudolnego"/>
          <w:rFonts w:ascii="Verdana" w:hAnsi="Verdana"/>
          <w:color w:val="000000" w:themeColor="text1"/>
          <w:sz w:val="20"/>
          <w:szCs w:val="20"/>
        </w:rPr>
        <w:footnoteRef/>
      </w:r>
      <w:r w:rsidRPr="001F0323">
        <w:rPr>
          <w:rFonts w:ascii="Verdana" w:hAnsi="Verdana"/>
          <w:color w:val="000000" w:themeColor="text1"/>
          <w:sz w:val="20"/>
          <w:szCs w:val="20"/>
        </w:rPr>
        <w:t xml:space="preserve"> Tekst jedn. Dz.U. z 2023, poz. 742 ze zm.</w:t>
      </w:r>
    </w:p>
  </w:footnote>
  <w:footnote w:id="2">
    <w:p w14:paraId="28301D05" w14:textId="77777777" w:rsidR="00904705" w:rsidRPr="001F0323" w:rsidRDefault="00904705" w:rsidP="001F0323">
      <w:pPr>
        <w:pStyle w:val="Tekstprzypisudolneg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1F0323">
        <w:rPr>
          <w:rStyle w:val="Odwoanieprzypisudolnego"/>
          <w:rFonts w:ascii="Verdana" w:hAnsi="Verdana"/>
          <w:color w:val="000000" w:themeColor="text1"/>
          <w:sz w:val="20"/>
          <w:szCs w:val="20"/>
        </w:rPr>
        <w:footnoteRef/>
      </w:r>
      <w:r w:rsidRPr="001F0323">
        <w:rPr>
          <w:rFonts w:ascii="Verdana" w:hAnsi="Verdana"/>
          <w:color w:val="000000" w:themeColor="text1"/>
          <w:sz w:val="20"/>
          <w:szCs w:val="20"/>
        </w:rPr>
        <w:t xml:space="preserve"> Tzn. efekty uczenia się, </w:t>
      </w:r>
      <w:r w:rsidRPr="001F0323">
        <w:rPr>
          <w:rFonts w:ascii="Verdana" w:hAnsi="Verdana" w:cs="Open Sans"/>
          <w:color w:val="000000" w:themeColor="text1"/>
          <w:sz w:val="20"/>
          <w:szCs w:val="20"/>
        </w:rPr>
        <w:t xml:space="preserve">o których mowa w </w:t>
      </w:r>
      <w:hyperlink r:id="rId1" w:anchor="/document/18267966?cm=DOCUMENT" w:history="1">
        <w:r w:rsidRPr="001F0323">
          <w:rPr>
            <w:rStyle w:val="Hipercze"/>
            <w:rFonts w:ascii="Verdana" w:hAnsi="Verdana" w:cs="Open Sans"/>
            <w:color w:val="000000" w:themeColor="text1"/>
            <w:sz w:val="20"/>
            <w:szCs w:val="20"/>
          </w:rPr>
          <w:t>ustawie</w:t>
        </w:r>
      </w:hyperlink>
      <w:r w:rsidRPr="001F0323">
        <w:rPr>
          <w:rFonts w:ascii="Verdana" w:hAnsi="Verdana" w:cs="Open Sans"/>
          <w:color w:val="000000" w:themeColor="text1"/>
          <w:sz w:val="20"/>
          <w:szCs w:val="20"/>
        </w:rPr>
        <w:t xml:space="preserve"> z dnia 22 grudnia 2015 r. o Zintegrowanym Systemie Kwalifikacji, z uwzględnieniem uniwersalnych charakterystyk pierwszego stopnia określonych w tej </w:t>
      </w:r>
      <w:hyperlink r:id="rId2" w:anchor="/document/18267966?cm=DOCUMENT" w:history="1">
        <w:r w:rsidRPr="001F0323">
          <w:rPr>
            <w:rStyle w:val="Hipercze"/>
            <w:rFonts w:ascii="Verdana" w:hAnsi="Verdana" w:cs="Open Sans"/>
            <w:color w:val="000000" w:themeColor="text1"/>
            <w:sz w:val="20"/>
            <w:szCs w:val="20"/>
          </w:rPr>
          <w:t>ustawie</w:t>
        </w:r>
      </w:hyperlink>
      <w:r w:rsidRPr="001F0323">
        <w:rPr>
          <w:rFonts w:ascii="Verdana" w:hAnsi="Verdana" w:cs="Open Sans"/>
          <w:color w:val="000000" w:themeColor="text1"/>
          <w:sz w:val="20"/>
          <w:szCs w:val="20"/>
        </w:rPr>
        <w:t xml:space="preserve"> oraz charakterystyk drugiego stopnia określonych w przepisach wydanych na podstawie </w:t>
      </w:r>
      <w:hyperlink r:id="rId3" w:anchor="/document/18267966?unitId=art(7)ust(3)&amp;cm=DOCUMENT" w:history="1">
        <w:r w:rsidRPr="001F0323">
          <w:rPr>
            <w:rStyle w:val="Hipercze"/>
            <w:rFonts w:ascii="Verdana" w:hAnsi="Verdana" w:cs="Open Sans"/>
            <w:color w:val="000000" w:themeColor="text1"/>
            <w:sz w:val="20"/>
            <w:szCs w:val="20"/>
          </w:rPr>
          <w:t>art. 7 ust. 3</w:t>
        </w:r>
      </w:hyperlink>
      <w:r w:rsidRPr="001F0323">
        <w:rPr>
          <w:rFonts w:ascii="Verdana" w:hAnsi="Verdana" w:cs="Open Sans"/>
          <w:color w:val="000000" w:themeColor="text1"/>
          <w:sz w:val="20"/>
          <w:szCs w:val="20"/>
        </w:rPr>
        <w:t xml:space="preserve"> tej ustawy.</w:t>
      </w:r>
    </w:p>
  </w:footnote>
  <w:footnote w:id="3">
    <w:p w14:paraId="1AAA364B" w14:textId="77777777" w:rsidR="00904705" w:rsidRPr="001F0323" w:rsidRDefault="00904705" w:rsidP="001F0323">
      <w:pPr>
        <w:pStyle w:val="Tekstprzypisudolneg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1F0323">
        <w:rPr>
          <w:rStyle w:val="Odwoanieprzypisudolnego"/>
          <w:rFonts w:ascii="Verdana" w:hAnsi="Verdana"/>
          <w:color w:val="000000" w:themeColor="text1"/>
          <w:sz w:val="20"/>
          <w:szCs w:val="20"/>
        </w:rPr>
        <w:footnoteRef/>
      </w:r>
      <w:r w:rsidRPr="001F0323">
        <w:rPr>
          <w:rFonts w:ascii="Verdana" w:hAnsi="Verdana"/>
          <w:color w:val="000000" w:themeColor="text1"/>
          <w:sz w:val="20"/>
          <w:szCs w:val="20"/>
        </w:rPr>
        <w:t xml:space="preserve">  Rozporządzenie Ministra Nauki i Szkolnictwa Wyższego z dnia 27 września 2018 r. w sprawie studiów; Dz.U. z 2021, poz. 661 – zwane dalej: rozporządzeniem.</w:t>
      </w:r>
    </w:p>
  </w:footnote>
  <w:footnote w:id="4">
    <w:p w14:paraId="0EF19F5C" w14:textId="77777777" w:rsidR="00904705" w:rsidRPr="001F0323" w:rsidRDefault="00904705" w:rsidP="001F0323">
      <w:pPr>
        <w:pStyle w:val="Tekstprzypisudolneg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1F0323">
        <w:rPr>
          <w:rStyle w:val="Odwoanieprzypisudolnego"/>
          <w:rFonts w:ascii="Verdana" w:hAnsi="Verdana"/>
          <w:color w:val="000000" w:themeColor="text1"/>
          <w:sz w:val="20"/>
          <w:szCs w:val="20"/>
        </w:rPr>
        <w:footnoteRef/>
      </w:r>
      <w:r w:rsidRPr="001F0323">
        <w:rPr>
          <w:rFonts w:ascii="Verdana" w:hAnsi="Verdana"/>
          <w:color w:val="000000" w:themeColor="text1"/>
          <w:sz w:val="20"/>
          <w:szCs w:val="20"/>
        </w:rPr>
        <w:t xml:space="preserve"> G. Laskowski,  </w:t>
      </w:r>
      <w:r w:rsidRPr="001F0323">
        <w:rPr>
          <w:rFonts w:ascii="Verdana" w:hAnsi="Verdana"/>
          <w:i/>
          <w:iCs/>
          <w:color w:val="000000" w:themeColor="text1"/>
          <w:sz w:val="20"/>
          <w:szCs w:val="20"/>
        </w:rPr>
        <w:t>Dlaczego i w jaki sposób uczelnie powinny zmieniać ofertę kierunków studiów?</w:t>
      </w:r>
      <w:r w:rsidRPr="001F0323">
        <w:rPr>
          <w:rFonts w:ascii="Verdana" w:hAnsi="Verdana"/>
          <w:color w:val="000000" w:themeColor="text1"/>
          <w:sz w:val="20"/>
          <w:szCs w:val="20"/>
        </w:rPr>
        <w:t xml:space="preserve">, </w:t>
      </w:r>
      <w:hyperlink r:id="rId4" w:history="1">
        <w:r w:rsidRPr="001F0323">
          <w:rPr>
            <w:rStyle w:val="Hipercze"/>
            <w:rFonts w:ascii="Verdana" w:hAnsi="Verdana"/>
            <w:color w:val="000000" w:themeColor="text1"/>
            <w:sz w:val="20"/>
            <w:szCs w:val="20"/>
          </w:rPr>
          <w:t>https://irsw.pl/dlaczego-i-w-jaki-sposob-uczelnie-powinny-zmieniac-oferte-kierunkow-studiow-tks/</w:t>
        </w:r>
      </w:hyperlink>
      <w:r w:rsidRPr="001F0323">
        <w:rPr>
          <w:rFonts w:ascii="Verdana" w:hAnsi="Verdana"/>
          <w:color w:val="000000" w:themeColor="text1"/>
          <w:sz w:val="20"/>
          <w:szCs w:val="20"/>
        </w:rPr>
        <w:t xml:space="preserve"> ; dostęp: 27.11.2023 r.</w:t>
      </w:r>
    </w:p>
  </w:footnote>
  <w:footnote w:id="5">
    <w:p w14:paraId="667B442B" w14:textId="77777777" w:rsidR="00904705" w:rsidRPr="001F0323" w:rsidRDefault="00904705" w:rsidP="001F0323">
      <w:pPr>
        <w:pStyle w:val="Tekstprzypisudolneg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1F0323">
        <w:rPr>
          <w:rStyle w:val="Odwoanieprzypisudolnego"/>
          <w:rFonts w:ascii="Verdana" w:hAnsi="Verdana"/>
          <w:color w:val="000000" w:themeColor="text1"/>
          <w:sz w:val="20"/>
          <w:szCs w:val="20"/>
        </w:rPr>
        <w:footnoteRef/>
      </w:r>
      <w:hyperlink r:id="rId5" w:history="1">
        <w:r w:rsidRPr="001F0323">
          <w:rPr>
            <w:rStyle w:val="Hipercze"/>
            <w:rFonts w:ascii="Verdana" w:hAnsi="Verdana"/>
            <w:sz w:val="20"/>
            <w:szCs w:val="20"/>
          </w:rPr>
          <w:t>https://kadry.infor.pl/wiadomosci/700160,Programy-studiow-tworzone-we-wspolpracy-z-pracodawcami.html</w:t>
        </w:r>
      </w:hyperlink>
      <w:r w:rsidRPr="001F0323">
        <w:rPr>
          <w:rFonts w:ascii="Verdana" w:hAnsi="Verdana"/>
          <w:color w:val="000000" w:themeColor="text1"/>
          <w:sz w:val="20"/>
          <w:szCs w:val="20"/>
        </w:rPr>
        <w:t xml:space="preserve"> (dostęp: 27.11.2023 r.).</w:t>
      </w:r>
    </w:p>
  </w:footnote>
  <w:footnote w:id="6">
    <w:p w14:paraId="21F304DB" w14:textId="77777777" w:rsidR="00904705" w:rsidRPr="001F0323" w:rsidRDefault="00904705" w:rsidP="001F0323">
      <w:pPr>
        <w:pStyle w:val="Tekstprzypisudolneg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1F0323">
        <w:rPr>
          <w:rStyle w:val="Odwoanieprzypisudolnego"/>
          <w:rFonts w:ascii="Verdana" w:hAnsi="Verdana"/>
          <w:color w:val="000000" w:themeColor="text1"/>
          <w:sz w:val="20"/>
          <w:szCs w:val="20"/>
        </w:rPr>
        <w:footnoteRef/>
      </w:r>
      <w:r w:rsidRPr="001F0323">
        <w:rPr>
          <w:rFonts w:ascii="Verdana" w:hAnsi="Verdana"/>
          <w:color w:val="000000" w:themeColor="text1"/>
          <w:sz w:val="20"/>
          <w:szCs w:val="20"/>
        </w:rPr>
        <w:t xml:space="preserve"> Zob. art. 67 u.o.s.w., który stanowi, że: „Uczelnia może prowadzić studia dualne, które są studiami o profilu praktycznym prowadzonymi z udziałem pracodawcy. Organizację studiów określa umowa zawarta w formie pisemnej”.</w:t>
      </w:r>
    </w:p>
  </w:footnote>
  <w:footnote w:id="7">
    <w:p w14:paraId="030E1A3B" w14:textId="77777777" w:rsidR="00904705" w:rsidRPr="001F0323" w:rsidRDefault="00904705" w:rsidP="001F0323">
      <w:pPr>
        <w:pStyle w:val="Tekstprzypisudolneg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1F0323">
        <w:rPr>
          <w:rStyle w:val="Odwoanieprzypisudolnego"/>
          <w:rFonts w:ascii="Verdana" w:hAnsi="Verdana"/>
          <w:color w:val="000000" w:themeColor="text1"/>
          <w:sz w:val="20"/>
          <w:szCs w:val="20"/>
        </w:rPr>
        <w:footnoteRef/>
      </w:r>
      <w:r w:rsidRPr="001F0323">
        <w:rPr>
          <w:rFonts w:ascii="Verdana" w:hAnsi="Verdana"/>
          <w:color w:val="000000" w:themeColor="text1"/>
          <w:sz w:val="20"/>
          <w:szCs w:val="20"/>
        </w:rPr>
        <w:t xml:space="preserve"> </w:t>
      </w:r>
      <w:hyperlink r:id="rId6" w:history="1">
        <w:r w:rsidRPr="001F0323">
          <w:rPr>
            <w:rStyle w:val="Hipercze"/>
            <w:rFonts w:ascii="Verdana" w:hAnsi="Verdana"/>
            <w:color w:val="000000" w:themeColor="text1"/>
            <w:sz w:val="20"/>
            <w:szCs w:val="20"/>
          </w:rPr>
          <w:t>https://kadry.infor.pl/wiadomosci/700160,Programy-studiow-tworzone-we-wspolpracy-z-pracodawcami.html</w:t>
        </w:r>
      </w:hyperlink>
      <w:r w:rsidRPr="001F0323">
        <w:rPr>
          <w:rFonts w:ascii="Verdana" w:hAnsi="Verdana"/>
          <w:color w:val="000000" w:themeColor="text1"/>
          <w:sz w:val="20"/>
          <w:szCs w:val="20"/>
        </w:rPr>
        <w:t xml:space="preserve"> (dostęp: 27.11.2023 r.).</w:t>
      </w:r>
    </w:p>
  </w:footnote>
  <w:footnote w:id="8">
    <w:p w14:paraId="511BD742" w14:textId="77777777" w:rsidR="003F682F" w:rsidRPr="001F0323" w:rsidRDefault="003F682F" w:rsidP="001F0323">
      <w:pPr>
        <w:pStyle w:val="Tekstprzypisudolneg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1F0323">
        <w:rPr>
          <w:rStyle w:val="Odwoanieprzypisudolnego"/>
          <w:rFonts w:ascii="Verdana" w:hAnsi="Verdana"/>
          <w:color w:val="000000" w:themeColor="text1"/>
          <w:sz w:val="20"/>
          <w:szCs w:val="20"/>
        </w:rPr>
        <w:footnoteRef/>
      </w:r>
      <w:r w:rsidRPr="001F0323">
        <w:rPr>
          <w:rFonts w:ascii="Verdana" w:hAnsi="Verdana"/>
          <w:color w:val="000000" w:themeColor="text1"/>
          <w:sz w:val="20"/>
          <w:szCs w:val="20"/>
        </w:rPr>
        <w:t xml:space="preserve"> Rozporządzenie Ministra Nauki i Szkolnictwa Wyższego z dnia 12 września 2018 r. w sprawie kryteriów oceny programowej wydane na podstawie art. 248 pkt 1 Ustawy z dnia 20 lipca 2018 r. – Prawo o szkolnictwie wyższym i nauce (Dz.U. poz. 1668).</w:t>
      </w:r>
    </w:p>
  </w:footnote>
  <w:footnote w:id="9">
    <w:p w14:paraId="341DEE19" w14:textId="77777777" w:rsidR="003F682F" w:rsidRPr="001F0323" w:rsidRDefault="003F682F" w:rsidP="001F0323">
      <w:pPr>
        <w:pStyle w:val="Tekstprzypisudolneg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1F0323">
        <w:rPr>
          <w:rStyle w:val="Odwoanieprzypisudolnego"/>
          <w:rFonts w:ascii="Verdana" w:hAnsi="Verdana"/>
          <w:color w:val="000000" w:themeColor="text1"/>
          <w:sz w:val="20"/>
          <w:szCs w:val="20"/>
        </w:rPr>
        <w:footnoteRef/>
      </w:r>
      <w:r w:rsidRPr="001F0323">
        <w:rPr>
          <w:rFonts w:ascii="Verdana" w:hAnsi="Verdana"/>
          <w:color w:val="000000" w:themeColor="text1"/>
          <w:sz w:val="20"/>
          <w:szCs w:val="20"/>
        </w:rPr>
        <w:t xml:space="preserve"> Statut Polskiej Komisji Akredytacyjnej stanowiący załącznik do uchwały nr 4/2018 Polskiej Komisji Akredytacyjnej z dnia 13 grudnia 2018 r.: </w:t>
      </w:r>
      <w:hyperlink r:id="rId7" w:history="1">
        <w:r w:rsidRPr="001F0323">
          <w:rPr>
            <w:rStyle w:val="Hipercze"/>
            <w:rFonts w:ascii="Verdana" w:hAnsi="Verdana"/>
            <w:color w:val="000000" w:themeColor="text1"/>
            <w:sz w:val="20"/>
            <w:szCs w:val="20"/>
          </w:rPr>
          <w:t>https://www.pka.edu.pl/wp-content/uploads/2022/03/statut-PKA-tekst-ujednolicony-2022.pdf</w:t>
        </w:r>
      </w:hyperlink>
      <w:r w:rsidRPr="001F0323">
        <w:rPr>
          <w:rFonts w:ascii="Verdana" w:hAnsi="Verdana"/>
          <w:color w:val="000000" w:themeColor="text1"/>
          <w:sz w:val="20"/>
          <w:szCs w:val="20"/>
        </w:rPr>
        <w:t xml:space="preserve"> (dostęp: 28.01.2023); zwany dalej statutem PKA.</w:t>
      </w:r>
    </w:p>
  </w:footnote>
  <w:footnote w:id="10">
    <w:p w14:paraId="500D97C7" w14:textId="77777777" w:rsidR="00570516" w:rsidRPr="001F0323" w:rsidRDefault="00570516" w:rsidP="001F0323">
      <w:pPr>
        <w:pStyle w:val="Tekstprzypisudolneg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1F0323">
        <w:rPr>
          <w:rStyle w:val="Odwoanieprzypisudolnego"/>
          <w:rFonts w:ascii="Verdana" w:hAnsi="Verdana"/>
          <w:color w:val="000000" w:themeColor="text1"/>
          <w:sz w:val="20"/>
          <w:szCs w:val="20"/>
        </w:rPr>
        <w:footnoteRef/>
      </w:r>
      <w:r w:rsidRPr="001F0323">
        <w:rPr>
          <w:rFonts w:ascii="Verdana" w:hAnsi="Verdana"/>
          <w:color w:val="000000" w:themeColor="text1"/>
          <w:sz w:val="20"/>
          <w:szCs w:val="20"/>
        </w:rPr>
        <w:t xml:space="preserve"> Zob. szerzej E. Solecka, </w:t>
      </w:r>
      <w:r w:rsidRPr="001F0323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Neuroróżnorodność, czyli jak stworzyć inkluzywne miejsce pracy? </w:t>
      </w:r>
      <w:hyperlink r:id="rId8" w:history="1">
        <w:r w:rsidRPr="001F0323">
          <w:rPr>
            <w:rStyle w:val="Hipercze"/>
            <w:rFonts w:ascii="Verdana" w:hAnsi="Verdana"/>
            <w:color w:val="000000" w:themeColor="text1"/>
            <w:sz w:val="20"/>
            <w:szCs w:val="20"/>
          </w:rPr>
          <w:t>https://focusonbusiness.eu/pl/ludzie/neuroroznorodnosc-czyli-jak-stworzyc-inkluzywne-miejsce-pracy/28197</w:t>
        </w:r>
      </w:hyperlink>
      <w:r w:rsidRPr="001F0323">
        <w:rPr>
          <w:rFonts w:ascii="Verdana" w:hAnsi="Verdana"/>
          <w:color w:val="000000" w:themeColor="text1"/>
          <w:sz w:val="20"/>
          <w:szCs w:val="20"/>
        </w:rPr>
        <w:t xml:space="preserve"> (dostęp: 27.11.2023 r.).</w:t>
      </w:r>
    </w:p>
  </w:footnote>
  <w:footnote w:id="11">
    <w:p w14:paraId="34848423" w14:textId="77777777" w:rsidR="00570516" w:rsidRPr="001F0323" w:rsidRDefault="00570516" w:rsidP="001F0323">
      <w:pPr>
        <w:pStyle w:val="Tekstprzypisudolneg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1F0323">
        <w:rPr>
          <w:rStyle w:val="Odwoanieprzypisudolnego"/>
          <w:rFonts w:ascii="Verdana" w:hAnsi="Verdana"/>
          <w:color w:val="000000" w:themeColor="text1"/>
          <w:sz w:val="20"/>
          <w:szCs w:val="20"/>
        </w:rPr>
        <w:footnoteRef/>
      </w:r>
      <w:r w:rsidRPr="001F0323">
        <w:rPr>
          <w:rFonts w:ascii="Verdana" w:hAnsi="Verdana"/>
          <w:color w:val="000000" w:themeColor="text1"/>
          <w:sz w:val="20"/>
          <w:szCs w:val="20"/>
        </w:rPr>
        <w:t xml:space="preserve"> Zob. np. </w:t>
      </w:r>
      <w:hyperlink r:id="rId9" w:history="1">
        <w:r w:rsidRPr="001F0323">
          <w:rPr>
            <w:rStyle w:val="Hipercze"/>
            <w:rFonts w:ascii="Verdana" w:hAnsi="Verdana"/>
            <w:color w:val="000000" w:themeColor="text1"/>
            <w:sz w:val="20"/>
            <w:szCs w:val="20"/>
          </w:rPr>
          <w:t>https://www.impactinternational.com/pl/blog/rozwoj-biznesu-inkluzywne-miejsce-pracy</w:t>
        </w:r>
      </w:hyperlink>
      <w:r w:rsidRPr="001F0323">
        <w:rPr>
          <w:rFonts w:ascii="Verdana" w:hAnsi="Verdana"/>
          <w:color w:val="000000" w:themeColor="text1"/>
          <w:sz w:val="20"/>
          <w:szCs w:val="20"/>
        </w:rPr>
        <w:t xml:space="preserve"> (dostęp 27.11.2023 r.).</w:t>
      </w:r>
    </w:p>
  </w:footnote>
  <w:footnote w:id="12">
    <w:p w14:paraId="5ACDFA32" w14:textId="77777777" w:rsidR="00570516" w:rsidRPr="001F0323" w:rsidRDefault="00570516" w:rsidP="001F0323">
      <w:pPr>
        <w:pStyle w:val="Tekstprzypisudolneg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1F0323">
        <w:rPr>
          <w:rStyle w:val="Odwoanieprzypisudolnego"/>
          <w:rFonts w:ascii="Verdana" w:hAnsi="Verdana"/>
          <w:color w:val="000000" w:themeColor="text1"/>
          <w:sz w:val="20"/>
          <w:szCs w:val="20"/>
        </w:rPr>
        <w:footnoteRef/>
      </w:r>
      <w:r w:rsidRPr="001F0323">
        <w:rPr>
          <w:rFonts w:ascii="Verdana" w:hAnsi="Verdana"/>
          <w:color w:val="000000" w:themeColor="text1"/>
          <w:sz w:val="20"/>
          <w:szCs w:val="20"/>
        </w:rPr>
        <w:t xml:space="preserve"> M. Gorczyca-Antosz, </w:t>
      </w:r>
      <w:r w:rsidRPr="001F0323">
        <w:rPr>
          <w:rFonts w:ascii="Verdana" w:hAnsi="Verdana"/>
          <w:i/>
          <w:iCs/>
          <w:color w:val="000000" w:themeColor="text1"/>
          <w:sz w:val="20"/>
          <w:szCs w:val="20"/>
        </w:rPr>
        <w:t>Inkluzywność w miejscu pracy. Dlaczego inkluzywny pracodawca wygrywa?</w:t>
      </w:r>
      <w:r w:rsidRPr="001F0323">
        <w:rPr>
          <w:rFonts w:ascii="Verdana" w:hAnsi="Verdana"/>
          <w:color w:val="000000" w:themeColor="text1"/>
          <w:sz w:val="20"/>
          <w:szCs w:val="20"/>
        </w:rPr>
        <w:t xml:space="preserve">  (dostęp: </w:t>
      </w:r>
      <w:hyperlink r:id="rId10" w:history="1">
        <w:r w:rsidRPr="001F0323">
          <w:rPr>
            <w:rStyle w:val="Hipercze"/>
            <w:rFonts w:ascii="Verdana" w:hAnsi="Verdana"/>
            <w:color w:val="000000" w:themeColor="text1"/>
            <w:sz w:val="20"/>
            <w:szCs w:val="20"/>
          </w:rPr>
          <w:t>https://mywspieramy.org/porady/inkluzywnosc/</w:t>
        </w:r>
      </w:hyperlink>
      <w:r w:rsidRPr="001F0323">
        <w:rPr>
          <w:rFonts w:ascii="Verdana" w:hAnsi="Verdana"/>
          <w:color w:val="000000" w:themeColor="text1"/>
          <w:sz w:val="20"/>
          <w:szCs w:val="20"/>
        </w:rPr>
        <w:t xml:space="preserve"> , dostęp: 27.11.2023 r.).</w:t>
      </w:r>
    </w:p>
  </w:footnote>
  <w:footnote w:id="13">
    <w:p w14:paraId="2B0434F2" w14:textId="77777777" w:rsidR="00570516" w:rsidRPr="001F0323" w:rsidRDefault="00570516" w:rsidP="001F0323">
      <w:pPr>
        <w:pStyle w:val="Tekstprzypisudolneg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1F0323">
        <w:rPr>
          <w:rStyle w:val="Odwoanieprzypisudolnego"/>
          <w:rFonts w:ascii="Verdana" w:hAnsi="Verdana"/>
          <w:color w:val="000000" w:themeColor="text1"/>
          <w:sz w:val="20"/>
          <w:szCs w:val="20"/>
        </w:rPr>
        <w:footnoteRef/>
      </w:r>
      <w:r w:rsidRPr="001F0323">
        <w:rPr>
          <w:rFonts w:ascii="Verdana" w:hAnsi="Verdana"/>
          <w:color w:val="000000" w:themeColor="text1"/>
          <w:sz w:val="20"/>
          <w:szCs w:val="20"/>
        </w:rPr>
        <w:t xml:space="preserve"> </w:t>
      </w:r>
      <w:hyperlink r:id="rId11" w:history="1">
        <w:r w:rsidRPr="001F0323">
          <w:rPr>
            <w:rStyle w:val="Hipercze"/>
            <w:rFonts w:ascii="Verdana" w:hAnsi="Verdana"/>
            <w:color w:val="000000" w:themeColor="text1"/>
            <w:sz w:val="20"/>
            <w:szCs w:val="20"/>
          </w:rPr>
          <w:t>https://www2.deloitte.com/pl/pl/pages/human-capital/articles/employee-experience/kazdy-pracownik-chce-byc-wysluchany-inkluzywna-organizacja.html</w:t>
        </w:r>
      </w:hyperlink>
      <w:r w:rsidRPr="001F0323">
        <w:rPr>
          <w:rFonts w:ascii="Verdana" w:hAnsi="Verdana"/>
          <w:color w:val="000000" w:themeColor="text1"/>
          <w:sz w:val="20"/>
          <w:szCs w:val="20"/>
        </w:rPr>
        <w:t xml:space="preserve"> (dostęp:27.11.2023 r.);</w:t>
      </w:r>
    </w:p>
  </w:footnote>
  <w:footnote w:id="14">
    <w:p w14:paraId="5B6FE727" w14:textId="77777777" w:rsidR="00570516" w:rsidRPr="001F0323" w:rsidRDefault="00570516" w:rsidP="001F0323">
      <w:pPr>
        <w:pStyle w:val="Tekstprzypisudolneg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1F0323">
        <w:rPr>
          <w:rStyle w:val="Odwoanieprzypisudolnego"/>
          <w:rFonts w:ascii="Verdana" w:hAnsi="Verdana"/>
          <w:color w:val="000000" w:themeColor="text1"/>
          <w:sz w:val="20"/>
          <w:szCs w:val="20"/>
        </w:rPr>
        <w:footnoteRef/>
      </w:r>
      <w:r w:rsidRPr="001F0323">
        <w:rPr>
          <w:rFonts w:ascii="Verdana" w:hAnsi="Verdana"/>
          <w:color w:val="000000" w:themeColor="text1"/>
          <w:sz w:val="20"/>
          <w:szCs w:val="20"/>
        </w:rPr>
        <w:t xml:space="preserve"> </w:t>
      </w:r>
      <w:hyperlink r:id="rId12" w:history="1">
        <w:r w:rsidRPr="001F0323">
          <w:rPr>
            <w:rStyle w:val="Hipercze"/>
            <w:rFonts w:ascii="Verdana" w:hAnsi="Verdana"/>
            <w:color w:val="000000" w:themeColor="text1"/>
            <w:sz w:val="20"/>
            <w:szCs w:val="20"/>
          </w:rPr>
          <w:t>https://mycompanypolska.pl/artykul/neuroroznorodni-w-biurze-jak-tworzyc-inkluzywne-miejsce-pracy/12011</w:t>
        </w:r>
      </w:hyperlink>
      <w:r w:rsidRPr="001F0323">
        <w:rPr>
          <w:rFonts w:ascii="Verdana" w:hAnsi="Verdana"/>
          <w:color w:val="000000" w:themeColor="text1"/>
          <w:sz w:val="20"/>
          <w:szCs w:val="20"/>
        </w:rPr>
        <w:t xml:space="preserve"> ; dostęp: 27.11.2023 r.).</w:t>
      </w:r>
    </w:p>
  </w:footnote>
  <w:footnote w:id="15">
    <w:p w14:paraId="6F03A8B1" w14:textId="77777777" w:rsidR="00570516" w:rsidRPr="001F0323" w:rsidRDefault="00570516" w:rsidP="001F0323">
      <w:pPr>
        <w:pStyle w:val="Tekstprzypisudolneg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1F0323">
        <w:rPr>
          <w:rStyle w:val="Odwoanieprzypisudolnego"/>
          <w:rFonts w:ascii="Verdana" w:hAnsi="Verdana"/>
          <w:color w:val="000000" w:themeColor="text1"/>
          <w:sz w:val="20"/>
          <w:szCs w:val="20"/>
        </w:rPr>
        <w:footnoteRef/>
      </w:r>
      <w:r w:rsidRPr="001F0323">
        <w:rPr>
          <w:rFonts w:ascii="Verdana" w:hAnsi="Verdana"/>
          <w:color w:val="000000" w:themeColor="text1"/>
          <w:sz w:val="20"/>
          <w:szCs w:val="20"/>
        </w:rPr>
        <w:t xml:space="preserve"> Inkluzywne środowisko pracy kluczem do biznesowego sukcesu (https://mobiletrends.pl/diversity-is-the-key-w-pracy/ ;dostęp: 27.11.2023 r.)</w:t>
      </w:r>
    </w:p>
  </w:footnote>
  <w:footnote w:id="16">
    <w:p w14:paraId="3D96234A" w14:textId="77777777" w:rsidR="001F0323" w:rsidRPr="001F0323" w:rsidRDefault="001F0323" w:rsidP="001F0323">
      <w:pPr>
        <w:pStyle w:val="Tekstprzypisudolneg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1F0323">
        <w:rPr>
          <w:rStyle w:val="Odwoanieprzypisudolnego"/>
          <w:rFonts w:ascii="Verdana" w:hAnsi="Verdana"/>
          <w:color w:val="000000" w:themeColor="text1"/>
          <w:sz w:val="20"/>
          <w:szCs w:val="20"/>
        </w:rPr>
        <w:footnoteRef/>
      </w:r>
      <w:r w:rsidRPr="001F032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1F0323">
        <w:rPr>
          <w:rFonts w:ascii="Verdana" w:hAnsi="Verdana"/>
          <w:i/>
          <w:iCs/>
          <w:color w:val="000000" w:themeColor="text1"/>
          <w:sz w:val="20"/>
          <w:szCs w:val="20"/>
        </w:rPr>
        <w:t>Strategię różnorodności i inkluzywności sekretariatu generalnego rady UE</w:t>
      </w:r>
      <w:r w:rsidRPr="001F0323">
        <w:rPr>
          <w:rFonts w:ascii="Verdana" w:hAnsi="Verdana"/>
          <w:color w:val="000000" w:themeColor="text1"/>
          <w:sz w:val="20"/>
          <w:szCs w:val="20"/>
        </w:rPr>
        <w:t xml:space="preserve">; dostęp: </w:t>
      </w:r>
      <w:hyperlink r:id="rId13" w:history="1">
        <w:r w:rsidRPr="001F0323">
          <w:rPr>
            <w:rStyle w:val="Hipercze"/>
            <w:rFonts w:ascii="Verdana" w:hAnsi="Verdana"/>
            <w:color w:val="000000" w:themeColor="text1"/>
            <w:sz w:val="20"/>
            <w:szCs w:val="20"/>
          </w:rPr>
          <w:t>https://www.consilium.europa.eu/media/67086/strategia-różnorodności-i-inkluzywności-sekretariatu-qc0921337pln.pdf</w:t>
        </w:r>
      </w:hyperlink>
      <w:r w:rsidRPr="001F0323">
        <w:rPr>
          <w:rFonts w:ascii="Verdana" w:hAnsi="Verdana"/>
          <w:color w:val="000000" w:themeColor="text1"/>
          <w:sz w:val="20"/>
          <w:szCs w:val="20"/>
        </w:rPr>
        <w:t xml:space="preserve"> ; 27.11.2023 r.).</w:t>
      </w:r>
    </w:p>
  </w:footnote>
  <w:footnote w:id="17">
    <w:p w14:paraId="43D49C7C" w14:textId="77777777" w:rsidR="001F0323" w:rsidRPr="001F0323" w:rsidRDefault="001F0323" w:rsidP="001F0323">
      <w:pPr>
        <w:pStyle w:val="Tekstprzypisudolnego"/>
        <w:jc w:val="both"/>
        <w:rPr>
          <w:rFonts w:ascii="Verdana" w:hAnsi="Verdana"/>
          <w:sz w:val="20"/>
          <w:szCs w:val="20"/>
        </w:rPr>
      </w:pPr>
      <w:r w:rsidRPr="001F0323">
        <w:rPr>
          <w:rStyle w:val="Odwoanieprzypisudolnego"/>
          <w:rFonts w:ascii="Verdana" w:hAnsi="Verdana"/>
          <w:sz w:val="20"/>
          <w:szCs w:val="20"/>
        </w:rPr>
        <w:footnoteRef/>
      </w:r>
      <w:r w:rsidRPr="001F0323">
        <w:rPr>
          <w:rFonts w:ascii="Verdana" w:hAnsi="Verdana"/>
          <w:sz w:val="20"/>
          <w:szCs w:val="20"/>
        </w:rPr>
        <w:t xml:space="preserve"> Zob. </w:t>
      </w:r>
      <w:r w:rsidRPr="001F0323">
        <w:rPr>
          <w:rFonts w:ascii="Verdana" w:hAnsi="Verdana"/>
          <w:i/>
          <w:iCs/>
          <w:sz w:val="20"/>
          <w:szCs w:val="20"/>
        </w:rPr>
        <w:t xml:space="preserve">raport z badań pt. </w:t>
      </w:r>
      <w:r w:rsidRPr="001F0323">
        <w:rPr>
          <w:rFonts w:ascii="Verdana" w:eastAsiaTheme="minorEastAsia" w:hAnsi="Verdana" w:cs="Helvetica"/>
          <w:i/>
          <w:iCs/>
          <w:color w:val="000000" w:themeColor="text1"/>
          <w:sz w:val="20"/>
          <w:szCs w:val="20"/>
          <w:lang w:eastAsia="en-US"/>
        </w:rPr>
        <w:t>Diagnoza potrzeb pracodawców i instytucji współpracujących z pw 2018/2019</w:t>
      </w:r>
      <w:r w:rsidRPr="001F0323">
        <w:rPr>
          <w:rFonts w:ascii="Verdana" w:eastAsiaTheme="minorEastAsia" w:hAnsi="Verdana" w:cs="Helvetica"/>
          <w:color w:val="000000" w:themeColor="text1"/>
          <w:sz w:val="20"/>
          <w:szCs w:val="20"/>
          <w:lang w:eastAsia="en-US"/>
        </w:rPr>
        <w:t>, passim.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CF3F0" w14:textId="2E309A0D" w:rsidR="00D355AE" w:rsidRDefault="008C1765" w:rsidP="00284055">
    <w:pPr>
      <w:pStyle w:val="Nagwek"/>
      <w:jc w:val="center"/>
    </w:pPr>
    <w:r w:rsidRPr="008C1765">
      <w:rPr>
        <w:noProof/>
      </w:rPr>
      <w:drawing>
        <wp:inline distT="0" distB="0" distL="0" distR="0" wp14:anchorId="3C4572F4" wp14:editId="1F551BEF">
          <wp:extent cx="5093091" cy="1242770"/>
          <wp:effectExtent l="0" t="0" r="0" b="1905"/>
          <wp:docPr id="2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8873" cy="1261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3C32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D27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6E13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E81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033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485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C84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A6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42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A00B5"/>
    <w:multiLevelType w:val="hybridMultilevel"/>
    <w:tmpl w:val="7C6A5504"/>
    <w:lvl w:ilvl="0" w:tplc="369EC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5952" w:themeColor="accent1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945E89"/>
    <w:multiLevelType w:val="hybridMultilevel"/>
    <w:tmpl w:val="F508D32A"/>
    <w:lvl w:ilvl="0" w:tplc="5622D0BE">
      <w:start w:val="1"/>
      <w:numFmt w:val="bullet"/>
      <w:lvlText w:val="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08490D59"/>
    <w:multiLevelType w:val="hybridMultilevel"/>
    <w:tmpl w:val="D8ACFF9C"/>
    <w:lvl w:ilvl="0" w:tplc="C76AD5AC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B06089"/>
    <w:multiLevelType w:val="hybridMultilevel"/>
    <w:tmpl w:val="3FE80D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301205"/>
    <w:multiLevelType w:val="hybridMultilevel"/>
    <w:tmpl w:val="046CF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072BB"/>
    <w:multiLevelType w:val="hybridMultilevel"/>
    <w:tmpl w:val="6CDA4470"/>
    <w:lvl w:ilvl="0" w:tplc="F1303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C2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E09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327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760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42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804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A42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9CF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894636C"/>
    <w:multiLevelType w:val="hybridMultilevel"/>
    <w:tmpl w:val="FF283906"/>
    <w:lvl w:ilvl="0" w:tplc="5622D0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05E4A"/>
    <w:multiLevelType w:val="hybridMultilevel"/>
    <w:tmpl w:val="FE14FC28"/>
    <w:lvl w:ilvl="0" w:tplc="369EC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5952" w:themeColor="accent1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04354"/>
    <w:multiLevelType w:val="hybridMultilevel"/>
    <w:tmpl w:val="3794B618"/>
    <w:lvl w:ilvl="0" w:tplc="369EC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416C3"/>
    <w:multiLevelType w:val="hybridMultilevel"/>
    <w:tmpl w:val="BC468424"/>
    <w:lvl w:ilvl="0" w:tplc="369EC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03A71"/>
    <w:multiLevelType w:val="hybridMultilevel"/>
    <w:tmpl w:val="A18E2D86"/>
    <w:lvl w:ilvl="0" w:tplc="5622D0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F7994"/>
    <w:multiLevelType w:val="hybridMultilevel"/>
    <w:tmpl w:val="FA74EECC"/>
    <w:lvl w:ilvl="0" w:tplc="5622D0BE">
      <w:start w:val="1"/>
      <w:numFmt w:val="bullet"/>
      <w:lvlText w:val=""/>
      <w:lvlJc w:val="left"/>
      <w:pPr>
        <w:ind w:left="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22" w15:restartNumberingAfterBreak="0">
    <w:nsid w:val="521F3BC3"/>
    <w:multiLevelType w:val="hybridMultilevel"/>
    <w:tmpl w:val="FB6AD80A"/>
    <w:lvl w:ilvl="0" w:tplc="7EEE0B26">
      <w:start w:val="1"/>
      <w:numFmt w:val="decimal"/>
      <w:pStyle w:val="Listanumerowana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72AEF"/>
    <w:multiLevelType w:val="hybridMultilevel"/>
    <w:tmpl w:val="95520F2A"/>
    <w:lvl w:ilvl="0" w:tplc="369EC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5952" w:themeColor="accent1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45D24"/>
    <w:multiLevelType w:val="hybridMultilevel"/>
    <w:tmpl w:val="E8E8C548"/>
    <w:lvl w:ilvl="0" w:tplc="E034C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72B47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D4C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C7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A8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F0E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1EA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3C4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4EB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8205A2E"/>
    <w:multiLevelType w:val="hybridMultilevel"/>
    <w:tmpl w:val="3FE80DE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4534A"/>
    <w:multiLevelType w:val="hybridMultilevel"/>
    <w:tmpl w:val="0CA20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34274"/>
    <w:multiLevelType w:val="hybridMultilevel"/>
    <w:tmpl w:val="28DC00DE"/>
    <w:lvl w:ilvl="0" w:tplc="08B453DE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889846">
    <w:abstractNumId w:val="9"/>
  </w:num>
  <w:num w:numId="2" w16cid:durableId="841968185">
    <w:abstractNumId w:val="19"/>
  </w:num>
  <w:num w:numId="3" w16cid:durableId="1541821109">
    <w:abstractNumId w:val="19"/>
  </w:num>
  <w:num w:numId="4" w16cid:durableId="345835766">
    <w:abstractNumId w:val="19"/>
  </w:num>
  <w:num w:numId="5" w16cid:durableId="1497719792">
    <w:abstractNumId w:val="19"/>
  </w:num>
  <w:num w:numId="6" w16cid:durableId="1723867202">
    <w:abstractNumId w:val="8"/>
  </w:num>
  <w:num w:numId="7" w16cid:durableId="770393810">
    <w:abstractNumId w:val="27"/>
  </w:num>
  <w:num w:numId="8" w16cid:durableId="414329182">
    <w:abstractNumId w:val="7"/>
  </w:num>
  <w:num w:numId="9" w16cid:durableId="1422599415">
    <w:abstractNumId w:val="6"/>
  </w:num>
  <w:num w:numId="10" w16cid:durableId="1017000651">
    <w:abstractNumId w:val="5"/>
  </w:num>
  <w:num w:numId="11" w16cid:durableId="313339129">
    <w:abstractNumId w:val="4"/>
  </w:num>
  <w:num w:numId="12" w16cid:durableId="2122454483">
    <w:abstractNumId w:val="3"/>
  </w:num>
  <w:num w:numId="13" w16cid:durableId="468980742">
    <w:abstractNumId w:val="2"/>
  </w:num>
  <w:num w:numId="14" w16cid:durableId="159469307">
    <w:abstractNumId w:val="1"/>
  </w:num>
  <w:num w:numId="15" w16cid:durableId="703167829">
    <w:abstractNumId w:val="0"/>
  </w:num>
  <w:num w:numId="16" w16cid:durableId="889344446">
    <w:abstractNumId w:val="22"/>
  </w:num>
  <w:num w:numId="17" w16cid:durableId="834222573">
    <w:abstractNumId w:val="27"/>
  </w:num>
  <w:num w:numId="18" w16cid:durableId="726685999">
    <w:abstractNumId w:val="18"/>
  </w:num>
  <w:num w:numId="19" w16cid:durableId="276644214">
    <w:abstractNumId w:val="26"/>
  </w:num>
  <w:num w:numId="20" w16cid:durableId="2145460907">
    <w:abstractNumId w:val="27"/>
  </w:num>
  <w:num w:numId="21" w16cid:durableId="597758269">
    <w:abstractNumId w:val="27"/>
  </w:num>
  <w:num w:numId="22" w16cid:durableId="1857041394">
    <w:abstractNumId w:val="27"/>
  </w:num>
  <w:num w:numId="23" w16cid:durableId="1082871393">
    <w:abstractNumId w:val="27"/>
  </w:num>
  <w:num w:numId="24" w16cid:durableId="2014648638">
    <w:abstractNumId w:val="27"/>
  </w:num>
  <w:num w:numId="25" w16cid:durableId="17199636">
    <w:abstractNumId w:val="24"/>
  </w:num>
  <w:num w:numId="26" w16cid:durableId="471097370">
    <w:abstractNumId w:val="15"/>
  </w:num>
  <w:num w:numId="27" w16cid:durableId="1352678764">
    <w:abstractNumId w:val="14"/>
  </w:num>
  <w:num w:numId="28" w16cid:durableId="2121290450">
    <w:abstractNumId w:val="17"/>
  </w:num>
  <w:num w:numId="29" w16cid:durableId="1952013393">
    <w:abstractNumId w:val="23"/>
  </w:num>
  <w:num w:numId="30" w16cid:durableId="217132051">
    <w:abstractNumId w:val="10"/>
  </w:num>
  <w:num w:numId="31" w16cid:durableId="181675890">
    <w:abstractNumId w:val="13"/>
  </w:num>
  <w:num w:numId="32" w16cid:durableId="146558245">
    <w:abstractNumId w:val="25"/>
  </w:num>
  <w:num w:numId="33" w16cid:durableId="1273048928">
    <w:abstractNumId w:val="16"/>
  </w:num>
  <w:num w:numId="34" w16cid:durableId="1976333156">
    <w:abstractNumId w:val="11"/>
  </w:num>
  <w:num w:numId="35" w16cid:durableId="624510502">
    <w:abstractNumId w:val="12"/>
  </w:num>
  <w:num w:numId="36" w16cid:durableId="375397168">
    <w:abstractNumId w:val="20"/>
  </w:num>
  <w:num w:numId="37" w16cid:durableId="18457026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1F"/>
    <w:rsid w:val="0003173B"/>
    <w:rsid w:val="000834BA"/>
    <w:rsid w:val="00094595"/>
    <w:rsid w:val="000A6A69"/>
    <w:rsid w:val="000B4BB8"/>
    <w:rsid w:val="000C60EA"/>
    <w:rsid w:val="000E35E6"/>
    <w:rsid w:val="00102680"/>
    <w:rsid w:val="001157CF"/>
    <w:rsid w:val="001668A8"/>
    <w:rsid w:val="00172FC9"/>
    <w:rsid w:val="00196B68"/>
    <w:rsid w:val="001979D7"/>
    <w:rsid w:val="001A3B9A"/>
    <w:rsid w:val="001D543C"/>
    <w:rsid w:val="001F0323"/>
    <w:rsid w:val="001F162E"/>
    <w:rsid w:val="002129F2"/>
    <w:rsid w:val="00215D77"/>
    <w:rsid w:val="002204D3"/>
    <w:rsid w:val="002772BA"/>
    <w:rsid w:val="00284055"/>
    <w:rsid w:val="002B6621"/>
    <w:rsid w:val="002D47F0"/>
    <w:rsid w:val="00313D15"/>
    <w:rsid w:val="00323D0D"/>
    <w:rsid w:val="00352A42"/>
    <w:rsid w:val="00373BDA"/>
    <w:rsid w:val="003D56B7"/>
    <w:rsid w:val="003F157D"/>
    <w:rsid w:val="003F682F"/>
    <w:rsid w:val="004028A5"/>
    <w:rsid w:val="00420C45"/>
    <w:rsid w:val="00440C7E"/>
    <w:rsid w:val="00456018"/>
    <w:rsid w:val="004C7724"/>
    <w:rsid w:val="004D64AB"/>
    <w:rsid w:val="00513676"/>
    <w:rsid w:val="00536DE3"/>
    <w:rsid w:val="00542D75"/>
    <w:rsid w:val="00570516"/>
    <w:rsid w:val="00577B7F"/>
    <w:rsid w:val="00580D6F"/>
    <w:rsid w:val="00584B01"/>
    <w:rsid w:val="00635BA2"/>
    <w:rsid w:val="0067519B"/>
    <w:rsid w:val="006A46BF"/>
    <w:rsid w:val="006B1D1E"/>
    <w:rsid w:val="006C133E"/>
    <w:rsid w:val="006F1B62"/>
    <w:rsid w:val="00724C2A"/>
    <w:rsid w:val="0076495D"/>
    <w:rsid w:val="0077563F"/>
    <w:rsid w:val="007E38DC"/>
    <w:rsid w:val="0081596C"/>
    <w:rsid w:val="00816F0E"/>
    <w:rsid w:val="0082074F"/>
    <w:rsid w:val="008A2D78"/>
    <w:rsid w:val="008B27C2"/>
    <w:rsid w:val="008C1765"/>
    <w:rsid w:val="008C1B24"/>
    <w:rsid w:val="008C2C4F"/>
    <w:rsid w:val="00904705"/>
    <w:rsid w:val="00956B77"/>
    <w:rsid w:val="00961273"/>
    <w:rsid w:val="009629FF"/>
    <w:rsid w:val="009673E2"/>
    <w:rsid w:val="00976199"/>
    <w:rsid w:val="009D47CA"/>
    <w:rsid w:val="009E4642"/>
    <w:rsid w:val="009F159B"/>
    <w:rsid w:val="00A27DCC"/>
    <w:rsid w:val="00A53779"/>
    <w:rsid w:val="00A72BC6"/>
    <w:rsid w:val="00AC198B"/>
    <w:rsid w:val="00AE0B9F"/>
    <w:rsid w:val="00AE233F"/>
    <w:rsid w:val="00AF3720"/>
    <w:rsid w:val="00B04A60"/>
    <w:rsid w:val="00B42DD6"/>
    <w:rsid w:val="00B832D7"/>
    <w:rsid w:val="00BC589B"/>
    <w:rsid w:val="00BD2687"/>
    <w:rsid w:val="00CD6DC5"/>
    <w:rsid w:val="00CE5013"/>
    <w:rsid w:val="00CF2490"/>
    <w:rsid w:val="00D13AD7"/>
    <w:rsid w:val="00D355AE"/>
    <w:rsid w:val="00D86129"/>
    <w:rsid w:val="00DA655C"/>
    <w:rsid w:val="00DB3119"/>
    <w:rsid w:val="00DD76A2"/>
    <w:rsid w:val="00DE33B7"/>
    <w:rsid w:val="00DE4A7C"/>
    <w:rsid w:val="00DE5E78"/>
    <w:rsid w:val="00DF17CD"/>
    <w:rsid w:val="00E329B2"/>
    <w:rsid w:val="00E33E50"/>
    <w:rsid w:val="00E85059"/>
    <w:rsid w:val="00E9361F"/>
    <w:rsid w:val="00E94551"/>
    <w:rsid w:val="00EB7A44"/>
    <w:rsid w:val="00EC423C"/>
    <w:rsid w:val="00F17816"/>
    <w:rsid w:val="00F8743D"/>
    <w:rsid w:val="00FD5C20"/>
    <w:rsid w:val="00FF467F"/>
    <w:rsid w:val="00F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9C4240"/>
  <w15:chartTrackingRefBased/>
  <w15:docId w15:val="{C9E8D8CF-DA64-C542-AC8A-FE9D86A4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F5F5F" w:themeColor="text2" w:themeTint="BF"/>
        <w:sz w:val="24"/>
        <w:szCs w:val="24"/>
        <w:lang w:val="pl-PL" w:eastAsia="ja-JP" w:bidi="pl-PL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6F0E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280" w:line="240" w:lineRule="auto"/>
      <w:contextualSpacing/>
      <w:outlineLvl w:val="1"/>
    </w:pPr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17" w:after="317"/>
      <w:contextualSpacing/>
      <w:outlineLvl w:val="2"/>
    </w:pPr>
    <w:rPr>
      <w:rFonts w:asciiTheme="majorHAnsi" w:eastAsiaTheme="majorEastAsia" w:hAnsiTheme="majorHAnsi" w:cstheme="majorBidi"/>
      <w:b/>
      <w:color w:val="F75952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2A2A2A" w:themeColor="text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2A2A2A" w:themeColor="text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Listapunktowana">
    <w:name w:val="List Bullet"/>
    <w:basedOn w:val="Normalny"/>
    <w:uiPriority w:val="12"/>
    <w:qFormat/>
    <w:pPr>
      <w:numPr>
        <w:numId w:val="7"/>
      </w:numPr>
      <w:spacing w:after="160"/>
    </w:pPr>
    <w:rPr>
      <w:i/>
      <w:szCs w:val="20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Cytat">
    <w:name w:val="Quote"/>
    <w:basedOn w:val="Normalny"/>
    <w:next w:val="Normalny"/>
    <w:link w:val="CytatZnak"/>
    <w:uiPriority w:val="10"/>
    <w:qFormat/>
    <w:pPr>
      <w:spacing w:before="320" w:after="320" w:line="264" w:lineRule="auto"/>
      <w:contextualSpacing/>
    </w:pPr>
    <w:rPr>
      <w:b/>
      <w:iCs/>
      <w:color w:val="F75952" w:themeColor="accent1"/>
      <w:sz w:val="54"/>
    </w:rPr>
  </w:style>
  <w:style w:type="character" w:customStyle="1" w:styleId="CytatZnak">
    <w:name w:val="Cytat Znak"/>
    <w:basedOn w:val="Domylnaczcionkaakapitu"/>
    <w:link w:val="Cytat"/>
    <w:uiPriority w:val="10"/>
    <w:rPr>
      <w:b/>
      <w:iCs/>
      <w:color w:val="F75952" w:themeColor="accent1"/>
      <w:sz w:val="54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color w:val="F75952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i/>
      <w:iCs/>
      <w:color w:val="2A2A2A" w:themeColor="text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b/>
      <w:i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b/>
      <w:caps/>
      <w:color w:val="2A2A2A" w:themeColor="text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Indeks3">
    <w:name w:val="index 3"/>
    <w:basedOn w:val="Normalny"/>
    <w:next w:val="Normalny"/>
    <w:autoRedefine/>
    <w:uiPriority w:val="99"/>
    <w:semiHidden/>
    <w:unhideWhenUsed/>
    <w:pPr>
      <w:spacing w:before="317" w:after="317" w:line="240" w:lineRule="auto"/>
      <w:ind w:left="720" w:hanging="245"/>
      <w:contextualSpacing/>
    </w:pPr>
    <w:rPr>
      <w:b/>
      <w:color w:val="F75952" w:themeColor="accent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styleId="Uwydatnienie">
    <w:name w:val="Emphasis"/>
    <w:basedOn w:val="Domylnaczcionkaakapitu"/>
    <w:uiPriority w:val="10"/>
    <w:qFormat/>
    <w:rPr>
      <w:b w:val="0"/>
      <w:i w:val="0"/>
      <w:iCs/>
      <w:color w:val="F75952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320" w:after="320" w:line="264" w:lineRule="auto"/>
      <w:contextualSpacing/>
    </w:pPr>
    <w:rPr>
      <w:b/>
      <w:i/>
      <w:iCs/>
      <w:color w:val="F75952" w:themeColor="accent1"/>
      <w:sz w:val="5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b/>
      <w:i/>
      <w:iCs/>
      <w:color w:val="F75952" w:themeColor="accent1"/>
      <w:sz w:val="54"/>
    </w:rPr>
  </w:style>
  <w:style w:type="paragraph" w:styleId="Akapitzlist">
    <w:name w:val="List Paragraph"/>
    <w:basedOn w:val="Normalny"/>
    <w:uiPriority w:val="34"/>
    <w:unhideWhenUsed/>
    <w:qFormat/>
    <w:pPr>
      <w:contextualSpacing/>
    </w:pPr>
    <w:rPr>
      <w:i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40" w:lineRule="auto"/>
    </w:pPr>
    <w:rPr>
      <w:i/>
      <w:iCs/>
      <w:sz w:val="20"/>
      <w:szCs w:val="18"/>
    </w:rPr>
  </w:style>
  <w:style w:type="paragraph" w:styleId="Nagwekspisutreci">
    <w:name w:val="TOC Heading"/>
    <w:basedOn w:val="Nagwek1"/>
    <w:next w:val="Normalny"/>
    <w:uiPriority w:val="39"/>
    <w:qFormat/>
    <w:pPr>
      <w:spacing w:after="1320"/>
      <w:outlineLvl w:val="9"/>
    </w:pPr>
  </w:style>
  <w:style w:type="paragraph" w:styleId="Stopka">
    <w:name w:val="footer"/>
    <w:basedOn w:val="Normalny"/>
    <w:link w:val="StopkaZnak"/>
    <w:uiPriority w:val="99"/>
    <w:unhideWhenUsed/>
    <w:qFormat/>
    <w:pPr>
      <w:spacing w:after="0" w:line="240" w:lineRule="auto"/>
    </w:pPr>
    <w:rPr>
      <w:b/>
      <w:color w:val="F75952" w:themeColor="accent1"/>
      <w:sz w:val="38"/>
      <w:szCs w:val="38"/>
    </w:rPr>
  </w:style>
  <w:style w:type="character" w:customStyle="1" w:styleId="StopkaZnak">
    <w:name w:val="Stopka Znak"/>
    <w:basedOn w:val="Domylnaczcionkaakapitu"/>
    <w:link w:val="Stopka"/>
    <w:uiPriority w:val="99"/>
    <w:rPr>
      <w:b/>
      <w:color w:val="F75952" w:themeColor="accent1"/>
      <w:sz w:val="38"/>
      <w:szCs w:val="38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aps/>
      <w:smallCaps w:val="0"/>
      <w:color w:val="F75952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caps/>
      <w:smallCaps w:val="0"/>
      <w:color w:val="3E3E3E" w:themeColor="text2" w:themeTint="E6"/>
      <w:spacing w:val="0"/>
    </w:rPr>
  </w:style>
  <w:style w:type="character" w:styleId="Pogrubienie">
    <w:name w:val="Strong"/>
    <w:basedOn w:val="Domylnaczcionkaakapitu"/>
    <w:uiPriority w:val="8"/>
    <w:semiHidden/>
    <w:unhideWhenUsed/>
    <w:qFormat/>
    <w:rPr>
      <w:b/>
      <w:bCs/>
      <w:color w:val="3E3E3E" w:themeColor="text2" w:themeTint="E6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5F5F5F" w:themeColor="text2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caps/>
      <w:smallCaps w:val="0"/>
      <w:color w:val="5F5F5F" w:themeColor="text2" w:themeTint="BF"/>
    </w:rPr>
  </w:style>
  <w:style w:type="character" w:styleId="Tytuksiki">
    <w:name w:val="Book Title"/>
    <w:basedOn w:val="Domylnaczcionkaakapitu"/>
    <w:uiPriority w:val="33"/>
    <w:semiHidden/>
    <w:unhideWhenUsed/>
    <w:qFormat/>
    <w:rPr>
      <w:b w:val="0"/>
      <w:bCs/>
      <w:i/>
      <w:iCs/>
      <w:color w:val="3E3E3E" w:themeColor="text2" w:themeTint="E6"/>
      <w:spacing w:val="0"/>
    </w:rPr>
  </w:style>
  <w:style w:type="paragraph" w:styleId="Tytu">
    <w:name w:val="Title"/>
    <w:basedOn w:val="Normalny"/>
    <w:next w:val="Podtytu"/>
    <w:link w:val="TytuZnak"/>
    <w:uiPriority w:val="1"/>
    <w:qFormat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character" w:customStyle="1" w:styleId="TytuZnak">
    <w:name w:val="Tytuł Znak"/>
    <w:basedOn w:val="Domylnaczcionkaakapitu"/>
    <w:link w:val="Tytu"/>
    <w:uiPriority w:val="1"/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paragraph" w:styleId="Podtytu">
    <w:name w:val="Subtitle"/>
    <w:basedOn w:val="Normalny"/>
    <w:next w:val="Autor"/>
    <w:link w:val="PodtytuZnak"/>
    <w:uiPriority w:val="2"/>
    <w:qFormat/>
    <w:pPr>
      <w:numPr>
        <w:ilvl w:val="1"/>
      </w:numPr>
      <w:spacing w:after="160"/>
    </w:pPr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character" w:customStyle="1" w:styleId="PodtytuZnak">
    <w:name w:val="Podtytuł Znak"/>
    <w:basedOn w:val="Domylnaczcionkaakapitu"/>
    <w:link w:val="Podtytu"/>
    <w:uiPriority w:val="2"/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pPr>
      <w:spacing w:before="120" w:after="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39"/>
    <w:unhideWhenUsed/>
    <w:qFormat/>
    <w:pPr>
      <w:spacing w:before="120" w:after="0"/>
      <w:ind w:left="240"/>
    </w:pPr>
    <w:rPr>
      <w:b/>
      <w:bCs/>
      <w:sz w:val="22"/>
      <w:szCs w:val="22"/>
    </w:rPr>
  </w:style>
  <w:style w:type="table" w:customStyle="1" w:styleId="Generaltable">
    <w:name w:val="General table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insideH w:val="single" w:sz="8" w:space="0" w:color="C9C9C9" w:themeColor="text2" w:themeTint="40"/>
      </w:tblBorders>
      <w:tblCellMar>
        <w:left w:w="0" w:type="dxa"/>
        <w:right w:w="504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2A2A2A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nil"/>
          <w:bottom w:w="360" w:type="dxa"/>
          <w:right w:w="0" w:type="nil"/>
        </w:tcMar>
      </w:tcPr>
    </w:tblStylePr>
    <w:tblStylePr w:type="firstCol">
      <w:pPr>
        <w:wordWrap/>
        <w:jc w:val="right"/>
      </w:pPr>
      <w:rPr>
        <w:b/>
        <w:i w:val="0"/>
        <w:color w:val="F75952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</w:tblStylePr>
  </w:style>
  <w:style w:type="paragraph" w:customStyle="1" w:styleId="Autor">
    <w:name w:val="Autor"/>
    <w:basedOn w:val="Normalny"/>
    <w:uiPriority w:val="3"/>
    <w:qFormat/>
    <w:pPr>
      <w:spacing w:after="0"/>
    </w:pPr>
    <w:rPr>
      <w:b/>
      <w:color w:val="2A2A2A" w:themeColor="text2"/>
      <w:sz w:val="30"/>
    </w:rPr>
  </w:style>
  <w:style w:type="paragraph" w:styleId="Nagwek">
    <w:name w:val="header"/>
    <w:basedOn w:val="Normalny"/>
    <w:link w:val="NagwekZnak"/>
    <w:uiPriority w:val="99"/>
    <w:unhideWhenUsed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Listanumerowana">
    <w:name w:val="List Number"/>
    <w:basedOn w:val="Normalny"/>
    <w:uiPriority w:val="13"/>
    <w:qFormat/>
    <w:pPr>
      <w:numPr>
        <w:numId w:val="16"/>
      </w:numPr>
    </w:pPr>
    <w:rPr>
      <w:i/>
    </w:rPr>
  </w:style>
  <w:style w:type="character" w:styleId="Hipercze">
    <w:name w:val="Hyperlink"/>
    <w:basedOn w:val="Domylnaczcionkaakapitu"/>
    <w:uiPriority w:val="99"/>
    <w:unhideWhenUsed/>
    <w:rsid w:val="00B832D7"/>
    <w:rPr>
      <w:color w:val="B67AC3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32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B4BB8"/>
    <w:pPr>
      <w:spacing w:after="0" w:line="240" w:lineRule="auto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F3720"/>
    <w:pPr>
      <w:spacing w:after="0"/>
      <w:ind w:left="48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AF3720"/>
    <w:pPr>
      <w:spacing w:after="0"/>
      <w:ind w:left="72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AF3720"/>
    <w:pPr>
      <w:spacing w:after="0"/>
      <w:ind w:left="9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AF3720"/>
    <w:pPr>
      <w:spacing w:after="0"/>
      <w:ind w:left="12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AF3720"/>
    <w:pPr>
      <w:spacing w:after="0"/>
      <w:ind w:left="144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AF3720"/>
    <w:pPr>
      <w:spacing w:after="0"/>
      <w:ind w:left="168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AF3720"/>
    <w:pPr>
      <w:spacing w:after="0"/>
      <w:ind w:left="1920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0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4705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4705"/>
    <w:rPr>
      <w:rFonts w:ascii="Times New Roman" w:eastAsia="Times New Roman" w:hAnsi="Times New Roman" w:cs="Times New Roman"/>
      <w:color w:val="auto"/>
      <w:lang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4705"/>
    <w:rPr>
      <w:vertAlign w:val="superscript"/>
    </w:rPr>
  </w:style>
  <w:style w:type="character" w:customStyle="1" w:styleId="apple-converted-space">
    <w:name w:val="apple-converted-space"/>
    <w:basedOn w:val="Domylnaczcionkaakapitu"/>
    <w:rsid w:val="00904705"/>
  </w:style>
  <w:style w:type="character" w:styleId="UyteHipercze">
    <w:name w:val="FollowedHyperlink"/>
    <w:basedOn w:val="Domylnaczcionkaakapitu"/>
    <w:uiPriority w:val="99"/>
    <w:semiHidden/>
    <w:unhideWhenUsed/>
    <w:rsid w:val="003F682F"/>
    <w:rPr>
      <w:color w:val="6AC7C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8088">
          <w:marLeft w:val="461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467">
          <w:marLeft w:val="461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9372">
          <w:marLeft w:val="461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026">
          <w:marLeft w:val="461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focusonbusiness.eu/pl/ludzie/neuroroznorodnosc-czyli-jak-stworzyc-inkluzywne-miejsce-pracy/28197" TargetMode="External"/><Relationship Id="rId13" Type="http://schemas.openxmlformats.org/officeDocument/2006/relationships/hyperlink" Target="https://www.consilium.europa.eu/media/67086/strategia-r&#243;&#380;norodno&#347;ci-i-inkluzywno&#347;ci-sekretariatu-qc0921337pln.pdf" TargetMode="External"/><Relationship Id="rId3" Type="http://schemas.openxmlformats.org/officeDocument/2006/relationships/hyperlink" Target="https://sip.lex.pl/" TargetMode="External"/><Relationship Id="rId7" Type="http://schemas.openxmlformats.org/officeDocument/2006/relationships/hyperlink" Target="https://www.pka.edu.pl/wp-content/uploads/2022/03/statut-PKA-tekst-ujednolicony-2022.pdf" TargetMode="External"/><Relationship Id="rId12" Type="http://schemas.openxmlformats.org/officeDocument/2006/relationships/hyperlink" Target="https://mycompanypolska.pl/artykul/neuroroznorodni-w-biurze-jak-tworzyc-inkluzywne-miejsce-pracy/12011" TargetMode="External"/><Relationship Id="rId2" Type="http://schemas.openxmlformats.org/officeDocument/2006/relationships/hyperlink" Target="https://sip.lex.pl/" TargetMode="External"/><Relationship Id="rId1" Type="http://schemas.openxmlformats.org/officeDocument/2006/relationships/hyperlink" Target="https://sip.lex.pl/" TargetMode="External"/><Relationship Id="rId6" Type="http://schemas.openxmlformats.org/officeDocument/2006/relationships/hyperlink" Target="https://kadry.infor.pl/wiadomosci/700160,Programy-studiow-tworzone-we-wspolpracy-z-pracodawcami.html" TargetMode="External"/><Relationship Id="rId11" Type="http://schemas.openxmlformats.org/officeDocument/2006/relationships/hyperlink" Target="https://www2.deloitte.com/pl/pl/pages/human-capital/articles/employee-experience/kazdy-pracownik-chce-byc-wysluchany-inkluzywna-organizacja.html" TargetMode="External"/><Relationship Id="rId5" Type="http://schemas.openxmlformats.org/officeDocument/2006/relationships/hyperlink" Target="https://kadry.infor.pl/wiadomosci/700160,Programy-studiow-tworzone-we-wspolpracy-z-pracodawcami.html" TargetMode="External"/><Relationship Id="rId10" Type="http://schemas.openxmlformats.org/officeDocument/2006/relationships/hyperlink" Target="https://mywspieramy.org/porady/inkluzywnosc/" TargetMode="External"/><Relationship Id="rId4" Type="http://schemas.openxmlformats.org/officeDocument/2006/relationships/hyperlink" Target="https://irsw.pl/dlaczego-i-w-jaki-sposob-uczelnie-powinny-zmieniac-oferte-kierunkow-studiow-tks/" TargetMode="External"/><Relationship Id="rId9" Type="http://schemas.openxmlformats.org/officeDocument/2006/relationships/hyperlink" Target="https://www.impactinternational.com/pl/blog/rozwoj-biznesu-inkluzywne-miejsce-pr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cinkocor/Library/Containers/com.microsoft.Word/Data/Library/Application%20Support/Microsoft/Office/16.0/DTS/pl-PL%7b4C51B2CD-5B09-9F4B-A8E4-310880A8EEE5%7d/%7bEE408DD1-7BDC-DA4A-ABAB-303611473472%7dtf10002071.dotx" TargetMode="External"/></Relationships>
</file>

<file path=word/theme/theme1.xml><?xml version="1.0" encoding="utf-8"?>
<a:theme xmlns:a="http://schemas.openxmlformats.org/drawingml/2006/main" name="Office Theme">
  <a:themeElements>
    <a:clrScheme name="Custom 38">
      <a:dk1>
        <a:sysClr val="windowText" lastClr="000000"/>
      </a:dk1>
      <a:lt1>
        <a:sysClr val="window" lastClr="FFFFFF"/>
      </a:lt1>
      <a:dk2>
        <a:srgbClr val="2A2A2A"/>
      </a:dk2>
      <a:lt2>
        <a:srgbClr val="FBFBF8"/>
      </a:lt2>
      <a:accent1>
        <a:srgbClr val="F75952"/>
      </a:accent1>
      <a:accent2>
        <a:srgbClr val="6AC7C9"/>
      </a:accent2>
      <a:accent3>
        <a:srgbClr val="F98A37"/>
      </a:accent3>
      <a:accent4>
        <a:srgbClr val="75BB6E"/>
      </a:accent4>
      <a:accent5>
        <a:srgbClr val="B67AC3"/>
      </a:accent5>
      <a:accent6>
        <a:srgbClr val="F7C94D"/>
      </a:accent6>
      <a:hlink>
        <a:srgbClr val="B67AC3"/>
      </a:hlink>
      <a:folHlink>
        <a:srgbClr val="6AC7C9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0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2F262BC0-24BC-3143-B96F-C1561F694A32}">
  <we:reference id="wa104379997" version="1.0.0.1" store="pl-PL" storeType="OMEX"/>
  <we:alternateReferences>
    <we:reference id="wa104379997" version="1.0.0.1" store="wa104379997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69B144F8-67AF-8C42-83AA-19F5929F11CE}">
  <we:reference id="wa104178141" version="4.3.3.0" store="pl-PL" storeType="OMEX"/>
  <we:alternateReferences>
    <we:reference id="WA104178141" version="4.3.3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CTQFD2CFPMXN-979-676</_dlc_DocId>
    <_dlc_DocIdUrl xmlns="498267d4-2a5a-4c72-99d3-cf7236a95ce8">
      <Url>https://msft.spoppe.com/teams/cpub/teams/Consumer/templates/_layouts/15/DocIdRedir.aspx?ID=CTQFD2CFPMXN-979-676</Url>
      <Description>CTQFD2CFPMXN-979-676</Description>
    </_dlc_DocIdUrl>
    <SharedWithDetails xmlns="498267d4-2a5a-4c72-99d3-cf7236a95ce8">{}</SharedWithDetails>
    <SharedWithUsers xmlns="498267d4-2a5a-4c72-99d3-cf7236a95ce8">
      <UserInfo>
        <DisplayName/>
        <AccountId xsi:nil="true"/>
        <AccountType/>
      </UserInfo>
    </SharedWithUsers>
    <SharingHintHash xmlns="498267d4-2a5a-4c72-99d3-cf7236a95ce8">1245024977</SharingHintHash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FA49B8-B6EE-4B3F-B22F-E9F8C6A0094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79E6113-9D61-48C6-AB23-FE0124366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083F78-D6DD-40BF-8378-BF9DFDAC29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3CED26-0910-4819-874B-D8E2CCD421FE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5.xml><?xml version="1.0" encoding="utf-8"?>
<ds:datastoreItem xmlns:ds="http://schemas.openxmlformats.org/officeDocument/2006/customXml" ds:itemID="{400DB6FE-DF17-4741-ACCE-BDED9F9E1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{EE408DD1-7BDC-DA4A-ABAB-303611473472}tf10002071.dotx</Template>
  <TotalTime>0</TotalTime>
  <Pages>11</Pages>
  <Words>1815</Words>
  <Characters>10893</Characters>
  <Application>Microsoft Office Word</Application>
  <DocSecurity>0</DocSecurity>
  <Lines>90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Kocór</dc:creator>
  <cp:keywords/>
  <dc:description/>
  <cp:lastModifiedBy>Agata Cebera</cp:lastModifiedBy>
  <cp:revision>2</cp:revision>
  <dcterms:created xsi:type="dcterms:W3CDTF">2023-12-29T15:56:00Z</dcterms:created>
  <dcterms:modified xsi:type="dcterms:W3CDTF">2023-12-29T15:56:00Z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40c25c02-a5e0-48a4-913c-93e0d5121f72</vt:lpwstr>
  </property>
  <property fmtid="{D5CDD505-2E9C-101B-9397-08002B2CF9AE}" pid="3" name="ContentTypeId">
    <vt:lpwstr>0x010100012E2E405031D74DB051ADDB3D34E572</vt:lpwstr>
  </property>
</Properties>
</file>