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663D" w14:textId="598203D0" w:rsidR="009E4642" w:rsidRDefault="000646A4" w:rsidP="00A36AE3">
      <w:pPr>
        <w:pStyle w:val="Tytu"/>
        <w:ind w:left="-284" w:right="-482"/>
        <w:rPr>
          <w:sz w:val="56"/>
        </w:rPr>
      </w:pPr>
      <w:r>
        <w:rPr>
          <w:sz w:val="56"/>
        </w:rPr>
        <w:t>Dobre praktyki w zakresie polityk publicznych wspierających osoby z niepełnosprawnościami na rynku pracy</w:t>
      </w:r>
    </w:p>
    <w:p w14:paraId="05D8F484" w14:textId="1EABF3DC" w:rsidR="003E6ACF" w:rsidRPr="003E6ACF" w:rsidRDefault="003E6ACF" w:rsidP="003E6ACF">
      <w:pPr>
        <w:pStyle w:val="Podtytu"/>
      </w:pPr>
      <w:r>
        <w:t>Część 2</w:t>
      </w:r>
    </w:p>
    <w:p w14:paraId="1C01003D" w14:textId="633D24EE" w:rsidR="009E4642" w:rsidRPr="00172FC9" w:rsidRDefault="00A36AE3" w:rsidP="00B832D7">
      <w:pPr>
        <w:jc w:val="center"/>
        <w:rPr>
          <w:caps/>
        </w:rPr>
      </w:pPr>
      <w:r>
        <w:rPr>
          <w:caps/>
          <w:noProof/>
        </w:rPr>
        <w:drawing>
          <wp:inline distT="0" distB="0" distL="0" distR="0" wp14:anchorId="3BBE9E25" wp14:editId="6BD91EB9">
            <wp:extent cx="5274945" cy="3512820"/>
            <wp:effectExtent l="0" t="0" r="0" b="5080"/>
            <wp:docPr id="1786713584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713584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205F0" w14:textId="77777777" w:rsidR="00B832D7" w:rsidRDefault="00B832D7" w:rsidP="00B832D7">
      <w:pPr>
        <w:pStyle w:val="Autor"/>
        <w:jc w:val="right"/>
      </w:pPr>
    </w:p>
    <w:p w14:paraId="6D72E1F9" w14:textId="2C98A5BB" w:rsidR="009E4642" w:rsidRPr="00816F0E" w:rsidRDefault="00AF3720" w:rsidP="009D47CA">
      <w:pPr>
        <w:pStyle w:val="Autor"/>
      </w:pPr>
      <w:r>
        <w:t>Marcin Kocór</w:t>
      </w:r>
    </w:p>
    <w:p w14:paraId="6B54080A" w14:textId="77777777" w:rsidR="009E4642" w:rsidRPr="00816F0E" w:rsidRDefault="00816F0E">
      <w:r>
        <w:br w:type="page"/>
      </w:r>
    </w:p>
    <w:bookmarkStart w:id="0" w:name="_Toc152329325" w:displacedByCustomXml="next"/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21388077"/>
        <w:docPartObj>
          <w:docPartGallery w:val="Table of Contents"/>
          <w:docPartUnique/>
        </w:docPartObj>
      </w:sdtPr>
      <w:sdtEndPr>
        <w:rPr>
          <w:rFonts w:eastAsia="MS Mincho"/>
          <w:bCs/>
          <w:noProof/>
        </w:rPr>
      </w:sdtEndPr>
      <w:sdtContent>
        <w:p w14:paraId="48AD683A" w14:textId="77777777" w:rsidR="00AF3720" w:rsidRPr="00AF3720" w:rsidRDefault="00AF3720">
          <w:pPr>
            <w:pStyle w:val="Nagwekspisutreci"/>
            <w:rPr>
              <w:color w:val="F75952" w:themeColor="accent1"/>
            </w:rPr>
          </w:pPr>
          <w:r w:rsidRPr="00AF3720">
            <w:rPr>
              <w:color w:val="F75952" w:themeColor="accent1"/>
            </w:rPr>
            <w:t>Spis</w:t>
          </w:r>
        </w:p>
        <w:p w14:paraId="1004354E" w14:textId="4C71E6BB" w:rsidR="00AF3720" w:rsidRDefault="00AF3720">
          <w:pPr>
            <w:pStyle w:val="Nagwekspisutreci"/>
          </w:pPr>
          <w:r>
            <w:t>treści</w:t>
          </w:r>
        </w:p>
        <w:p w14:paraId="17C687EB" w14:textId="53E72956" w:rsidR="003E6ACF" w:rsidRPr="003E6ACF" w:rsidRDefault="00AF3720">
          <w:pPr>
            <w:pStyle w:val="Spistreci1"/>
            <w:tabs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kern w:val="2"/>
              <w:lang w:eastAsia="pl-PL" w:bidi="ar-SA"/>
              <w14:ligatures w14:val="standardContextual"/>
            </w:rPr>
          </w:pPr>
          <w:r w:rsidRPr="000834BA">
            <w:rPr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Pr="000834BA">
            <w:rPr>
              <w:i w:val="0"/>
              <w:iCs w:val="0"/>
              <w:sz w:val="28"/>
              <w:szCs w:val="28"/>
            </w:rPr>
            <w:instrText>TOC \o "1-3" \h \z \u</w:instrText>
          </w:r>
          <w:r w:rsidRPr="000834BA">
            <w:rPr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154755625" w:history="1">
            <w:r w:rsidR="003E6ACF" w:rsidRPr="003E6ACF">
              <w:rPr>
                <w:rStyle w:val="Hipercze"/>
                <w:i w:val="0"/>
                <w:iCs w:val="0"/>
                <w:noProof/>
              </w:rPr>
              <w:t>Wprowadzenie</w:t>
            </w:r>
            <w:r w:rsidR="003E6ACF" w:rsidRPr="003E6ACF">
              <w:rPr>
                <w:i w:val="0"/>
                <w:iCs w:val="0"/>
                <w:noProof/>
                <w:webHidden/>
              </w:rPr>
              <w:tab/>
            </w:r>
            <w:r w:rsidR="003E6ACF" w:rsidRPr="003E6ACF">
              <w:rPr>
                <w:i w:val="0"/>
                <w:iCs w:val="0"/>
                <w:noProof/>
                <w:webHidden/>
              </w:rPr>
              <w:fldChar w:fldCharType="begin"/>
            </w:r>
            <w:r w:rsidR="003E6ACF" w:rsidRPr="003E6ACF">
              <w:rPr>
                <w:i w:val="0"/>
                <w:iCs w:val="0"/>
                <w:noProof/>
                <w:webHidden/>
              </w:rPr>
              <w:instrText xml:space="preserve"> PAGEREF _Toc154755625 \h </w:instrText>
            </w:r>
            <w:r w:rsidR="003E6ACF" w:rsidRPr="003E6ACF">
              <w:rPr>
                <w:i w:val="0"/>
                <w:iCs w:val="0"/>
                <w:noProof/>
                <w:webHidden/>
              </w:rPr>
            </w:r>
            <w:r w:rsidR="003E6ACF" w:rsidRPr="003E6ACF">
              <w:rPr>
                <w:i w:val="0"/>
                <w:iCs w:val="0"/>
                <w:noProof/>
                <w:webHidden/>
              </w:rPr>
              <w:fldChar w:fldCharType="separate"/>
            </w:r>
            <w:r w:rsidR="003E6ACF" w:rsidRPr="003E6ACF">
              <w:rPr>
                <w:i w:val="0"/>
                <w:iCs w:val="0"/>
                <w:noProof/>
                <w:webHidden/>
              </w:rPr>
              <w:t>3</w:t>
            </w:r>
            <w:r w:rsidR="003E6ACF" w:rsidRPr="003E6ACF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658FE64" w14:textId="40E92417" w:rsidR="003E6ACF" w:rsidRPr="003E6ACF" w:rsidRDefault="003E6ACF">
          <w:pPr>
            <w:pStyle w:val="Spistreci1"/>
            <w:tabs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kern w:val="2"/>
              <w:lang w:eastAsia="pl-PL" w:bidi="ar-SA"/>
              <w14:ligatures w14:val="standardContextual"/>
            </w:rPr>
          </w:pPr>
          <w:hyperlink w:anchor="_Toc154755626" w:history="1">
            <w:r w:rsidRPr="003E6ACF">
              <w:rPr>
                <w:rStyle w:val="Hipercze"/>
                <w:i w:val="0"/>
                <w:iCs w:val="0"/>
                <w:noProof/>
              </w:rPr>
              <w:t>Wsparcie wysokiej jakości</w:t>
            </w:r>
            <w:r w:rsidRPr="003E6ACF">
              <w:rPr>
                <w:i w:val="0"/>
                <w:iCs w:val="0"/>
                <w:noProof/>
                <w:webHidden/>
              </w:rPr>
              <w:tab/>
            </w:r>
            <w:r w:rsidRPr="003E6ACF">
              <w:rPr>
                <w:i w:val="0"/>
                <w:iCs w:val="0"/>
                <w:noProof/>
                <w:webHidden/>
              </w:rPr>
              <w:fldChar w:fldCharType="begin"/>
            </w:r>
            <w:r w:rsidRPr="003E6ACF">
              <w:rPr>
                <w:i w:val="0"/>
                <w:iCs w:val="0"/>
                <w:noProof/>
                <w:webHidden/>
              </w:rPr>
              <w:instrText xml:space="preserve"> PAGEREF _Toc154755626 \h </w:instrText>
            </w:r>
            <w:r w:rsidRPr="003E6ACF">
              <w:rPr>
                <w:i w:val="0"/>
                <w:iCs w:val="0"/>
                <w:noProof/>
                <w:webHidden/>
              </w:rPr>
            </w:r>
            <w:r w:rsidRPr="003E6ACF">
              <w:rPr>
                <w:i w:val="0"/>
                <w:iCs w:val="0"/>
                <w:noProof/>
                <w:webHidden/>
              </w:rPr>
              <w:fldChar w:fldCharType="separate"/>
            </w:r>
            <w:r w:rsidRPr="003E6ACF">
              <w:rPr>
                <w:i w:val="0"/>
                <w:iCs w:val="0"/>
                <w:noProof/>
                <w:webHidden/>
              </w:rPr>
              <w:t>4</w:t>
            </w:r>
            <w:r w:rsidRPr="003E6ACF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F2408C4" w14:textId="4CE273AD" w:rsidR="003E6ACF" w:rsidRPr="003E6ACF" w:rsidRDefault="003E6ACF">
          <w:pPr>
            <w:pStyle w:val="Spistreci3"/>
            <w:tabs>
              <w:tab w:val="right" w:leader="dot" w:pos="8297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eastAsia="pl-PL" w:bidi="ar-SA"/>
              <w14:ligatures w14:val="standardContextual"/>
            </w:rPr>
          </w:pPr>
          <w:hyperlink w:anchor="_Toc154755627" w:history="1">
            <w:r w:rsidRPr="003E6ACF">
              <w:rPr>
                <w:rStyle w:val="Hipercze"/>
                <w:noProof/>
              </w:rPr>
              <w:t>Agefiph, Francja</w:t>
            </w:r>
            <w:r w:rsidRPr="003E6ACF">
              <w:rPr>
                <w:noProof/>
                <w:webHidden/>
              </w:rPr>
              <w:tab/>
            </w:r>
            <w:r w:rsidRPr="003E6ACF">
              <w:rPr>
                <w:noProof/>
                <w:webHidden/>
              </w:rPr>
              <w:fldChar w:fldCharType="begin"/>
            </w:r>
            <w:r w:rsidRPr="003E6ACF">
              <w:rPr>
                <w:noProof/>
                <w:webHidden/>
              </w:rPr>
              <w:instrText xml:space="preserve"> PAGEREF _Toc154755627 \h </w:instrText>
            </w:r>
            <w:r w:rsidRPr="003E6ACF">
              <w:rPr>
                <w:noProof/>
                <w:webHidden/>
              </w:rPr>
            </w:r>
            <w:r w:rsidRPr="003E6ACF">
              <w:rPr>
                <w:noProof/>
                <w:webHidden/>
              </w:rPr>
              <w:fldChar w:fldCharType="separate"/>
            </w:r>
            <w:r w:rsidRPr="003E6ACF">
              <w:rPr>
                <w:noProof/>
                <w:webHidden/>
              </w:rPr>
              <w:t>4</w:t>
            </w:r>
            <w:r w:rsidRPr="003E6ACF">
              <w:rPr>
                <w:noProof/>
                <w:webHidden/>
              </w:rPr>
              <w:fldChar w:fldCharType="end"/>
            </w:r>
          </w:hyperlink>
        </w:p>
        <w:p w14:paraId="7470F0C9" w14:textId="53D7B2C0" w:rsidR="003E6ACF" w:rsidRPr="003E6ACF" w:rsidRDefault="003E6ACF">
          <w:pPr>
            <w:pStyle w:val="Spistreci1"/>
            <w:tabs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kern w:val="2"/>
              <w:lang w:eastAsia="pl-PL" w:bidi="ar-SA"/>
              <w14:ligatures w14:val="standardContextual"/>
            </w:rPr>
          </w:pPr>
          <w:hyperlink w:anchor="_Toc154755628" w:history="1">
            <w:r w:rsidRPr="003E6ACF">
              <w:rPr>
                <w:rStyle w:val="Hipercze"/>
                <w:i w:val="0"/>
                <w:iCs w:val="0"/>
                <w:noProof/>
              </w:rPr>
              <w:t>Ukierunkowane szkolenia wzmacniające pozycję kluczowych podmiotów</w:t>
            </w:r>
            <w:r w:rsidRPr="003E6ACF">
              <w:rPr>
                <w:i w:val="0"/>
                <w:iCs w:val="0"/>
                <w:noProof/>
                <w:webHidden/>
              </w:rPr>
              <w:tab/>
            </w:r>
            <w:r w:rsidRPr="003E6ACF">
              <w:rPr>
                <w:i w:val="0"/>
                <w:iCs w:val="0"/>
                <w:noProof/>
                <w:webHidden/>
              </w:rPr>
              <w:fldChar w:fldCharType="begin"/>
            </w:r>
            <w:r w:rsidRPr="003E6ACF">
              <w:rPr>
                <w:i w:val="0"/>
                <w:iCs w:val="0"/>
                <w:noProof/>
                <w:webHidden/>
              </w:rPr>
              <w:instrText xml:space="preserve"> PAGEREF _Toc154755628 \h </w:instrText>
            </w:r>
            <w:r w:rsidRPr="003E6ACF">
              <w:rPr>
                <w:i w:val="0"/>
                <w:iCs w:val="0"/>
                <w:noProof/>
                <w:webHidden/>
              </w:rPr>
            </w:r>
            <w:r w:rsidRPr="003E6ACF">
              <w:rPr>
                <w:i w:val="0"/>
                <w:iCs w:val="0"/>
                <w:noProof/>
                <w:webHidden/>
              </w:rPr>
              <w:fldChar w:fldCharType="separate"/>
            </w:r>
            <w:r w:rsidRPr="003E6ACF">
              <w:rPr>
                <w:i w:val="0"/>
                <w:iCs w:val="0"/>
                <w:noProof/>
                <w:webHidden/>
              </w:rPr>
              <w:t>5</w:t>
            </w:r>
            <w:r w:rsidRPr="003E6ACF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BD247F5" w14:textId="592383D1" w:rsidR="003E6ACF" w:rsidRPr="003E6ACF" w:rsidRDefault="003E6ACF">
          <w:pPr>
            <w:pStyle w:val="Spistreci3"/>
            <w:tabs>
              <w:tab w:val="right" w:leader="dot" w:pos="8297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eastAsia="pl-PL" w:bidi="ar-SA"/>
              <w14:ligatures w14:val="standardContextual"/>
            </w:rPr>
          </w:pPr>
          <w:hyperlink w:anchor="_Toc154755629" w:history="1">
            <w:r w:rsidRPr="003E6ACF">
              <w:rPr>
                <w:rStyle w:val="Hipercze"/>
                <w:noProof/>
              </w:rPr>
              <w:t>Ik ben Harrie, Holandia</w:t>
            </w:r>
            <w:r w:rsidRPr="003E6ACF">
              <w:rPr>
                <w:noProof/>
                <w:webHidden/>
              </w:rPr>
              <w:tab/>
            </w:r>
            <w:r w:rsidRPr="003E6ACF">
              <w:rPr>
                <w:noProof/>
                <w:webHidden/>
              </w:rPr>
              <w:fldChar w:fldCharType="begin"/>
            </w:r>
            <w:r w:rsidRPr="003E6ACF">
              <w:rPr>
                <w:noProof/>
                <w:webHidden/>
              </w:rPr>
              <w:instrText xml:space="preserve"> PAGEREF _Toc154755629 \h </w:instrText>
            </w:r>
            <w:r w:rsidRPr="003E6ACF">
              <w:rPr>
                <w:noProof/>
                <w:webHidden/>
              </w:rPr>
            </w:r>
            <w:r w:rsidRPr="003E6ACF">
              <w:rPr>
                <w:noProof/>
                <w:webHidden/>
              </w:rPr>
              <w:fldChar w:fldCharType="separate"/>
            </w:r>
            <w:r w:rsidRPr="003E6ACF">
              <w:rPr>
                <w:noProof/>
                <w:webHidden/>
              </w:rPr>
              <w:t>6</w:t>
            </w:r>
            <w:r w:rsidRPr="003E6ACF">
              <w:rPr>
                <w:noProof/>
                <w:webHidden/>
              </w:rPr>
              <w:fldChar w:fldCharType="end"/>
            </w:r>
          </w:hyperlink>
        </w:p>
        <w:p w14:paraId="3D1F3BED" w14:textId="707725AF" w:rsidR="003E6ACF" w:rsidRPr="003E6ACF" w:rsidRDefault="003E6ACF">
          <w:pPr>
            <w:pStyle w:val="Spistreci1"/>
            <w:tabs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kern w:val="2"/>
              <w:lang w:eastAsia="pl-PL" w:bidi="ar-SA"/>
              <w14:ligatures w14:val="standardContextual"/>
            </w:rPr>
          </w:pPr>
          <w:hyperlink w:anchor="_Toc154755630" w:history="1">
            <w:r w:rsidRPr="003E6ACF">
              <w:rPr>
                <w:rStyle w:val="Hipercze"/>
                <w:i w:val="0"/>
                <w:iCs w:val="0"/>
                <w:noProof/>
              </w:rPr>
              <w:t>Uniwersalny dostęp i systemy dualne</w:t>
            </w:r>
            <w:r w:rsidRPr="003E6ACF">
              <w:rPr>
                <w:i w:val="0"/>
                <w:iCs w:val="0"/>
                <w:noProof/>
                <w:webHidden/>
              </w:rPr>
              <w:tab/>
            </w:r>
            <w:r w:rsidRPr="003E6ACF">
              <w:rPr>
                <w:i w:val="0"/>
                <w:iCs w:val="0"/>
                <w:noProof/>
                <w:webHidden/>
              </w:rPr>
              <w:fldChar w:fldCharType="begin"/>
            </w:r>
            <w:r w:rsidRPr="003E6ACF">
              <w:rPr>
                <w:i w:val="0"/>
                <w:iCs w:val="0"/>
                <w:noProof/>
                <w:webHidden/>
              </w:rPr>
              <w:instrText xml:space="preserve"> PAGEREF _Toc154755630 \h </w:instrText>
            </w:r>
            <w:r w:rsidRPr="003E6ACF">
              <w:rPr>
                <w:i w:val="0"/>
                <w:iCs w:val="0"/>
                <w:noProof/>
                <w:webHidden/>
              </w:rPr>
            </w:r>
            <w:r w:rsidRPr="003E6ACF">
              <w:rPr>
                <w:i w:val="0"/>
                <w:iCs w:val="0"/>
                <w:noProof/>
                <w:webHidden/>
              </w:rPr>
              <w:fldChar w:fldCharType="separate"/>
            </w:r>
            <w:r w:rsidRPr="003E6ACF">
              <w:rPr>
                <w:i w:val="0"/>
                <w:iCs w:val="0"/>
                <w:noProof/>
                <w:webHidden/>
              </w:rPr>
              <w:t>7</w:t>
            </w:r>
            <w:r w:rsidRPr="003E6ACF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24AB63B" w14:textId="7230775B" w:rsidR="003E6ACF" w:rsidRDefault="003E6ACF">
          <w:pPr>
            <w:pStyle w:val="Spistreci3"/>
            <w:tabs>
              <w:tab w:val="right" w:leader="dot" w:pos="8297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eastAsia="pl-PL" w:bidi="ar-SA"/>
              <w14:ligatures w14:val="standardContextual"/>
            </w:rPr>
          </w:pPr>
          <w:hyperlink w:anchor="_Toc154755631" w:history="1">
            <w:r w:rsidRPr="003E6ACF">
              <w:rPr>
                <w:rStyle w:val="Hipercze"/>
                <w:noProof/>
              </w:rPr>
              <w:t>Uniwersalna strategia włączenia, Szwecja</w:t>
            </w:r>
            <w:r w:rsidRPr="003E6ACF">
              <w:rPr>
                <w:noProof/>
                <w:webHidden/>
              </w:rPr>
              <w:tab/>
            </w:r>
            <w:r w:rsidRPr="003E6ACF">
              <w:rPr>
                <w:noProof/>
                <w:webHidden/>
              </w:rPr>
              <w:fldChar w:fldCharType="begin"/>
            </w:r>
            <w:r w:rsidRPr="003E6ACF">
              <w:rPr>
                <w:noProof/>
                <w:webHidden/>
              </w:rPr>
              <w:instrText xml:space="preserve"> PAGEREF _Toc154755631 \h </w:instrText>
            </w:r>
            <w:r w:rsidRPr="003E6ACF">
              <w:rPr>
                <w:noProof/>
                <w:webHidden/>
              </w:rPr>
            </w:r>
            <w:r w:rsidRPr="003E6ACF">
              <w:rPr>
                <w:noProof/>
                <w:webHidden/>
              </w:rPr>
              <w:fldChar w:fldCharType="separate"/>
            </w:r>
            <w:r w:rsidRPr="003E6ACF">
              <w:rPr>
                <w:noProof/>
                <w:webHidden/>
              </w:rPr>
              <w:t>7</w:t>
            </w:r>
            <w:r w:rsidRPr="003E6ACF">
              <w:rPr>
                <w:noProof/>
                <w:webHidden/>
              </w:rPr>
              <w:fldChar w:fldCharType="end"/>
            </w:r>
          </w:hyperlink>
        </w:p>
        <w:p w14:paraId="0C7DADF5" w14:textId="373DEC0C" w:rsidR="00AF3720" w:rsidRDefault="00AF3720">
          <w:r w:rsidRPr="000834BA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68FB68C2" w14:textId="43F9CD04" w:rsidR="00AF3720" w:rsidRDefault="00AF3720">
      <w:pPr>
        <w:rPr>
          <w:rFonts w:asciiTheme="majorHAnsi" w:eastAsiaTheme="majorEastAsia" w:hAnsiTheme="majorHAnsi" w:cstheme="majorBidi"/>
          <w:b/>
          <w:caps/>
          <w:color w:val="2A2A2A" w:themeColor="text2"/>
          <w:sz w:val="56"/>
          <w:szCs w:val="56"/>
        </w:rPr>
      </w:pPr>
    </w:p>
    <w:p w14:paraId="3036D5A0" w14:textId="77777777" w:rsidR="008B27C2" w:rsidRDefault="008B27C2">
      <w:pPr>
        <w:rPr>
          <w:rFonts w:asciiTheme="majorHAnsi" w:eastAsiaTheme="majorEastAsia" w:hAnsiTheme="majorHAnsi" w:cstheme="majorBidi"/>
          <w:b/>
          <w:caps/>
          <w:color w:val="2A2A2A" w:themeColor="text2"/>
          <w:sz w:val="56"/>
          <w:szCs w:val="56"/>
        </w:rPr>
      </w:pPr>
      <w:r>
        <w:rPr>
          <w:sz w:val="56"/>
          <w:szCs w:val="56"/>
        </w:rPr>
        <w:br w:type="page"/>
      </w:r>
    </w:p>
    <w:p w14:paraId="7062FE24" w14:textId="7C1CA510" w:rsidR="009F7AC5" w:rsidRPr="009F7AC5" w:rsidRDefault="009F7AC5" w:rsidP="009F7AC5">
      <w:pPr>
        <w:pStyle w:val="Nagwek1"/>
        <w:spacing w:before="600" w:after="800"/>
        <w:rPr>
          <w:sz w:val="52"/>
          <w:szCs w:val="52"/>
        </w:rPr>
      </w:pPr>
      <w:bookmarkStart w:id="1" w:name="OLE_LINK1"/>
      <w:bookmarkStart w:id="2" w:name="OLE_LINK2"/>
      <w:bookmarkStart w:id="3" w:name="_Toc154755625"/>
      <w:bookmarkEnd w:id="0"/>
      <w:r w:rsidRPr="009F7AC5">
        <w:rPr>
          <w:sz w:val="52"/>
          <w:szCs w:val="52"/>
        </w:rPr>
        <w:lastRenderedPageBreak/>
        <w:t>Wprowadzenie</w:t>
      </w:r>
      <w:bookmarkEnd w:id="3"/>
    </w:p>
    <w:p w14:paraId="4565BC46" w14:textId="75996BF3" w:rsidR="009F7AC5" w:rsidRPr="001B302D" w:rsidRDefault="009F7AC5" w:rsidP="009F7AC5">
      <w:r w:rsidRPr="001B302D">
        <w:t>W Unii Europejskiej mieszka około 87 milionów osób z</w:t>
      </w:r>
      <w:r>
        <w:t> </w:t>
      </w:r>
      <w:r w:rsidRPr="001B302D">
        <w:t>niepełnosprawnościami, które napotykają na wiele barier, w tym ograniczony dostęp do edukacji i szkolenia, wsparcia kariery oraz odpowiednich miejsc pracy. W 2021 r. różnica w zatrudnieniu między osobami z niepełnosprawnościami a osobami bez niepełnosprawności wynosiła 23 punkty procentowe, a udział osób z</w:t>
      </w:r>
      <w:r>
        <w:t> </w:t>
      </w:r>
      <w:r w:rsidRPr="001B302D">
        <w:t xml:space="preserve">niepełnosprawnościami w szkolnictwie wyższym jest </w:t>
      </w:r>
      <w:r>
        <w:t xml:space="preserve">wciąż </w:t>
      </w:r>
      <w:r w:rsidRPr="001B302D">
        <w:t>niski.</w:t>
      </w:r>
    </w:p>
    <w:p w14:paraId="442E7680" w14:textId="19CF47FC" w:rsidR="009F7AC5" w:rsidRPr="001B302D" w:rsidRDefault="009F7AC5" w:rsidP="009F7AC5">
      <w:r w:rsidRPr="001B302D">
        <w:t>Unia Europejska wzmocniła swoje działania na rzecz inkluzji edukacyjnej i dostępu do rynku pracy dla osób z niepełnosprawnościami. W ramach Europejskiej Strategii na rzecz Praw Osób Niepełnosprawnych 2021-2030, określono priorytetowe obszary działań, które obejmują między innymi zwiększenie dostępu do miejsc pracy i projektowanie przestrzeni pracy uwzględniających potrzeby osób z niepełnosprawnościami.</w:t>
      </w:r>
    </w:p>
    <w:p w14:paraId="6BEA419E" w14:textId="5B4C2869" w:rsidR="009F7AC5" w:rsidRDefault="009F7AC5" w:rsidP="009F7AC5">
      <w:r>
        <w:t xml:space="preserve">W ubiegłym roku </w:t>
      </w:r>
      <w:proofErr w:type="spellStart"/>
      <w:r w:rsidRPr="001B302D">
        <w:t>Cedefop</w:t>
      </w:r>
      <w:proofErr w:type="spellEnd"/>
      <w:r w:rsidRPr="001B302D">
        <w:t xml:space="preserve">, wspólnie z partnerami </w:t>
      </w:r>
      <w:proofErr w:type="spellStart"/>
      <w:r w:rsidRPr="001B302D">
        <w:t>CareersNet</w:t>
      </w:r>
      <w:proofErr w:type="spellEnd"/>
      <w:r>
        <w:t xml:space="preserve"> </w:t>
      </w:r>
      <w:r w:rsidRPr="001B302D">
        <w:t>zebrał przykłady polityk i praktyk z całej UE, które wspierają prawa i</w:t>
      </w:r>
      <w:r>
        <w:t> </w:t>
      </w:r>
      <w:r w:rsidRPr="001B302D">
        <w:t>możliwości osób z niepełnosprawnościami. Inicjatywy te obejmują między innymi wsparcie w zakresie oceny umiejętności, rozwoju kariery, adaptacji miejsc pracy, a także zatrudnienia wspieranego. Dążą one do umożliwienia osobom z niepełnosprawnościami uczestnictwa w szkoleniach i na otwartym rynku pracy.</w:t>
      </w:r>
      <w:r>
        <w:t xml:space="preserve"> Warto pokazać przykładowe dobre praktyki, które w całości lub ich elementy mogą zostać z powodzeniem wykorzystane w projektowanych działaniach.</w:t>
      </w:r>
    </w:p>
    <w:bookmarkEnd w:id="1"/>
    <w:bookmarkEnd w:id="2"/>
    <w:p w14:paraId="1909AC55" w14:textId="77777777" w:rsidR="0040756F" w:rsidRDefault="0040756F" w:rsidP="0040756F">
      <w:pPr>
        <w:rPr>
          <w:rStyle w:val="Hipercze"/>
          <w:color w:val="C00000"/>
        </w:rPr>
      </w:pPr>
    </w:p>
    <w:p w14:paraId="635E7D2B" w14:textId="01D667D5" w:rsidR="0040756F" w:rsidRPr="003C2188" w:rsidRDefault="003C2188" w:rsidP="003C2188">
      <w:pPr>
        <w:pStyle w:val="Nagwek1"/>
        <w:spacing w:before="600" w:after="800"/>
        <w:rPr>
          <w:sz w:val="52"/>
          <w:szCs w:val="52"/>
        </w:rPr>
      </w:pPr>
      <w:bookmarkStart w:id="4" w:name="_Toc154755626"/>
      <w:r w:rsidRPr="003C2188">
        <w:rPr>
          <w:sz w:val="52"/>
          <w:szCs w:val="52"/>
        </w:rPr>
        <w:lastRenderedPageBreak/>
        <w:t>Wsp</w:t>
      </w:r>
      <w:r>
        <w:rPr>
          <w:sz w:val="52"/>
          <w:szCs w:val="52"/>
        </w:rPr>
        <w:t>a</w:t>
      </w:r>
      <w:r w:rsidRPr="003C2188">
        <w:rPr>
          <w:sz w:val="52"/>
          <w:szCs w:val="52"/>
        </w:rPr>
        <w:t>rcie wysokiej jakości</w:t>
      </w:r>
      <w:bookmarkEnd w:id="4"/>
    </w:p>
    <w:p w14:paraId="5CCC75B9" w14:textId="0F1B5D1B" w:rsidR="0040756F" w:rsidRDefault="003C2188" w:rsidP="0040756F">
      <w:r>
        <w:t>W t</w:t>
      </w:r>
      <w:r w:rsidR="0040756F" w:rsidRPr="0040756F">
        <w:t>worzeni</w:t>
      </w:r>
      <w:r>
        <w:t>u</w:t>
      </w:r>
      <w:r w:rsidR="0040756F" w:rsidRPr="0040756F">
        <w:t xml:space="preserve"> systemów doradztwa zawodowego </w:t>
      </w:r>
      <w:r>
        <w:t>i</w:t>
      </w:r>
      <w:r w:rsidR="0040756F" w:rsidRPr="0040756F">
        <w:t>stotna jest współpraca kluczowych graczy oraz koordynacja polityk i usług. Kluczowe jest zaangażowanie</w:t>
      </w:r>
      <w:r>
        <w:t xml:space="preserve"> samych</w:t>
      </w:r>
      <w:r w:rsidR="0040756F" w:rsidRPr="0040756F">
        <w:t xml:space="preserve"> osób</w:t>
      </w:r>
      <w:r>
        <w:t xml:space="preserve"> z</w:t>
      </w:r>
      <w:r w:rsidR="0040756F" w:rsidRPr="0040756F">
        <w:t xml:space="preserve"> niepełnosprawn</w:t>
      </w:r>
      <w:r>
        <w:t>ościami</w:t>
      </w:r>
      <w:r w:rsidR="0040756F" w:rsidRPr="0040756F">
        <w:t xml:space="preserve"> oraz </w:t>
      </w:r>
      <w:r w:rsidRPr="0040756F">
        <w:t>reprezentujących</w:t>
      </w:r>
      <w:r>
        <w:t xml:space="preserve"> ich</w:t>
      </w:r>
      <w:r w:rsidRPr="0040756F">
        <w:t xml:space="preserve"> </w:t>
      </w:r>
      <w:r w:rsidR="0040756F" w:rsidRPr="0040756F">
        <w:t>organizacji</w:t>
      </w:r>
      <w:r>
        <w:t xml:space="preserve"> </w:t>
      </w:r>
      <w:r w:rsidR="0040756F" w:rsidRPr="0040756F">
        <w:t>w</w:t>
      </w:r>
      <w:r>
        <w:t> </w:t>
      </w:r>
      <w:r w:rsidR="0040756F" w:rsidRPr="0040756F">
        <w:t xml:space="preserve">projektowaniu usług, polityk i praktyk, które ich dotyczą, ponieważ najlepiej znają </w:t>
      </w:r>
      <w:r>
        <w:t xml:space="preserve">oni </w:t>
      </w:r>
      <w:r w:rsidR="0040756F" w:rsidRPr="0040756F">
        <w:t xml:space="preserve">swoje potrzeby. Można opracować specjalne profile zawodowe, takie jak koordynator ds. niepełnosprawności, aby </w:t>
      </w:r>
      <w:r>
        <w:t xml:space="preserve">wesprzeć procesy </w:t>
      </w:r>
      <w:r w:rsidR="0040756F" w:rsidRPr="0040756F">
        <w:t>rekrut</w:t>
      </w:r>
      <w:r>
        <w:t xml:space="preserve">acji </w:t>
      </w:r>
      <w:r w:rsidR="0040756F" w:rsidRPr="0040756F">
        <w:t>os</w:t>
      </w:r>
      <w:r>
        <w:t xml:space="preserve">ób </w:t>
      </w:r>
      <w:r w:rsidR="0040756F" w:rsidRPr="0040756F">
        <w:t>z</w:t>
      </w:r>
      <w:r>
        <w:t> </w:t>
      </w:r>
      <w:r w:rsidR="0040756F" w:rsidRPr="0040756F">
        <w:t>niepełnosprawnościami. Pracodawcy, dostawcy edukacji i szkoleń oraz praktycy zawodowi potrzebują ciągłego rozwoju kompetencji, by pracować nad integracją i koordynacją świadcz</w:t>
      </w:r>
      <w:r>
        <w:t>onych</w:t>
      </w:r>
      <w:r w:rsidR="0040756F" w:rsidRPr="0040756F">
        <w:t xml:space="preserve"> usług oraz rozwo</w:t>
      </w:r>
      <w:r>
        <w:t>ju</w:t>
      </w:r>
      <w:r w:rsidR="0040756F" w:rsidRPr="0040756F">
        <w:t xml:space="preserve"> systemów doradztwa zawodowego </w:t>
      </w:r>
      <w:r>
        <w:t>i kształcenia ustawicznego</w:t>
      </w:r>
      <w:r w:rsidR="0040756F" w:rsidRPr="0040756F">
        <w:t xml:space="preserve">. Na poziomie klienta usługi powinny być łatwo dostępne i efektywne, na przykład poprzez punkty obsługi </w:t>
      </w:r>
      <w:r>
        <w:t xml:space="preserve">typu </w:t>
      </w:r>
      <w:r w:rsidR="0040756F" w:rsidRPr="0040756F">
        <w:t>wszystko w jednym miejscu.</w:t>
      </w:r>
    </w:p>
    <w:p w14:paraId="5227EE8D" w14:textId="77777777" w:rsidR="0040756F" w:rsidRDefault="0040756F" w:rsidP="0040756F"/>
    <w:p w14:paraId="422D46EB" w14:textId="3FB195FF" w:rsidR="004270D6" w:rsidRPr="004270D6" w:rsidRDefault="004270D6" w:rsidP="004270D6">
      <w:pPr>
        <w:pStyle w:val="Nagwek3"/>
        <w:rPr>
          <w:color w:val="C00000"/>
        </w:rPr>
      </w:pPr>
      <w:bookmarkStart w:id="5" w:name="_Toc154755627"/>
      <w:proofErr w:type="spellStart"/>
      <w:r w:rsidRPr="004270D6">
        <w:rPr>
          <w:color w:val="C00000"/>
        </w:rPr>
        <w:t>Agefiph</w:t>
      </w:r>
      <w:proofErr w:type="spellEnd"/>
      <w:r w:rsidRPr="004270D6">
        <w:rPr>
          <w:color w:val="C00000"/>
        </w:rPr>
        <w:t>, Francja</w:t>
      </w:r>
      <w:bookmarkEnd w:id="5"/>
    </w:p>
    <w:p w14:paraId="22C8B71E" w14:textId="2256838F" w:rsidR="004270D6" w:rsidRDefault="004270D6" w:rsidP="004270D6">
      <w:r>
        <w:t xml:space="preserve">Projekt </w:t>
      </w:r>
      <w:proofErr w:type="spellStart"/>
      <w:r>
        <w:t>Agefiph</w:t>
      </w:r>
      <w:proofErr w:type="spellEnd"/>
      <w:r>
        <w:t xml:space="preserve"> koncentruje się na wspieraniu zatrudnienia osób z niepełnosprawnościami. Oferuje szeroki zakres rozwiązań mających na celu umożliwienie takim osobom włączenia się do życia zawodowego. W ramach </w:t>
      </w:r>
      <w:proofErr w:type="spellStart"/>
      <w:r>
        <w:t>Agefiph</w:t>
      </w:r>
      <w:proofErr w:type="spellEnd"/>
      <w:r>
        <w:t xml:space="preserve"> oferowane są różnorodne usługi </w:t>
      </w:r>
      <w:r>
        <w:rPr>
          <w:rFonts w:hint="eastAsia"/>
        </w:rPr>
        <w:t>i</w:t>
      </w:r>
      <w:r>
        <w:t> </w:t>
      </w:r>
      <w:r>
        <w:rPr>
          <w:rFonts w:hint="eastAsia"/>
        </w:rPr>
        <w:t xml:space="preserve">pomoc finansowa, które mają na celu ułatwienie osobom </w:t>
      </w:r>
      <w:r>
        <w:t>z </w:t>
      </w:r>
      <w:r>
        <w:rPr>
          <w:rFonts w:hint="eastAsia"/>
        </w:rPr>
        <w:t>niepełnosprawn</w:t>
      </w:r>
      <w:r>
        <w:t>ościami</w:t>
      </w:r>
      <w:r>
        <w:rPr>
          <w:rFonts w:hint="eastAsia"/>
        </w:rPr>
        <w:t xml:space="preserve"> włączeni</w:t>
      </w:r>
      <w:r>
        <w:t>e</w:t>
      </w:r>
      <w:r>
        <w:rPr>
          <w:rFonts w:hint="eastAsia"/>
        </w:rPr>
        <w:t xml:space="preserve"> się do rynku pracy i utrzymanie zatrudnienia.</w:t>
      </w:r>
    </w:p>
    <w:p w14:paraId="09B4D3CC" w14:textId="39BE7284" w:rsidR="004270D6" w:rsidRDefault="004270D6" w:rsidP="004270D6">
      <w:proofErr w:type="spellStart"/>
      <w:r>
        <w:rPr>
          <w:rFonts w:hint="eastAsia"/>
        </w:rPr>
        <w:t>Agefiph</w:t>
      </w:r>
      <w:proofErr w:type="spellEnd"/>
      <w:r>
        <w:rPr>
          <w:rFonts w:hint="eastAsia"/>
        </w:rPr>
        <w:t xml:space="preserve"> współpracuje także z pracodawcami, oferując im wsparcie w</w:t>
      </w:r>
      <w:r>
        <w:t> </w:t>
      </w:r>
      <w:r>
        <w:rPr>
          <w:rFonts w:hint="eastAsia"/>
        </w:rPr>
        <w:t xml:space="preserve">tworzeniu polityki zatrudniania osób </w:t>
      </w:r>
      <w:r>
        <w:t xml:space="preserve">z </w:t>
      </w:r>
      <w:r>
        <w:rPr>
          <w:rFonts w:hint="eastAsia"/>
        </w:rPr>
        <w:t>niepełnosprawn</w:t>
      </w:r>
      <w:r>
        <w:t>ościami</w:t>
      </w:r>
      <w:r>
        <w:rPr>
          <w:rFonts w:hint="eastAsia"/>
        </w:rPr>
        <w:t>, a</w:t>
      </w:r>
      <w:r>
        <w:t> </w:t>
      </w:r>
      <w:r>
        <w:rPr>
          <w:rFonts w:hint="eastAsia"/>
        </w:rPr>
        <w:t xml:space="preserve">także z doradcami zawodowymi, </w:t>
      </w:r>
      <w:r>
        <w:t>zapewniając</w:t>
      </w:r>
      <w:r>
        <w:rPr>
          <w:rFonts w:hint="eastAsia"/>
        </w:rPr>
        <w:t xml:space="preserve"> im </w:t>
      </w:r>
      <w:r>
        <w:t xml:space="preserve">z kolei </w:t>
      </w:r>
      <w:r>
        <w:rPr>
          <w:rFonts w:hint="eastAsia"/>
        </w:rPr>
        <w:t xml:space="preserve">wsparcie </w:t>
      </w:r>
      <w:r>
        <w:rPr>
          <w:rFonts w:hint="eastAsia"/>
        </w:rPr>
        <w:lastRenderedPageBreak/>
        <w:t xml:space="preserve">finansowe i usługi ułatwiające zatrudnianie i utrzymanie w pracy osób </w:t>
      </w:r>
      <w:r>
        <w:t xml:space="preserve">z </w:t>
      </w:r>
      <w:r>
        <w:rPr>
          <w:rFonts w:hint="eastAsia"/>
        </w:rPr>
        <w:t>niepełnosprawn</w:t>
      </w:r>
      <w:r>
        <w:t>ościami</w:t>
      </w:r>
      <w:r>
        <w:rPr>
          <w:rFonts w:hint="eastAsia"/>
        </w:rPr>
        <w:t>.</w:t>
      </w:r>
    </w:p>
    <w:p w14:paraId="574A6036" w14:textId="7667AB10" w:rsidR="004270D6" w:rsidRDefault="004270D6" w:rsidP="004270D6">
      <w:r>
        <w:rPr>
          <w:rFonts w:hint="eastAsia"/>
        </w:rPr>
        <w:t xml:space="preserve">Organizacja ta wspiera również aktywnie sektor edukacji, oferując usługi i pomoc finansową, które ułatwiają dostęp osób </w:t>
      </w:r>
      <w:r>
        <w:t>z </w:t>
      </w:r>
      <w:r>
        <w:rPr>
          <w:rFonts w:hint="eastAsia"/>
        </w:rPr>
        <w:t>niepełnosprawn</w:t>
      </w:r>
      <w:r>
        <w:t>ościami</w:t>
      </w:r>
      <w:r>
        <w:rPr>
          <w:rFonts w:hint="eastAsia"/>
        </w:rPr>
        <w:t xml:space="preserve"> do edukacji i zabezpieczają ich ścieżki kariery. </w:t>
      </w:r>
      <w:proofErr w:type="spellStart"/>
      <w:r>
        <w:rPr>
          <w:rFonts w:hint="eastAsia"/>
        </w:rPr>
        <w:t>Agefiph</w:t>
      </w:r>
      <w:proofErr w:type="spellEnd"/>
      <w:r>
        <w:rPr>
          <w:rFonts w:hint="eastAsia"/>
        </w:rPr>
        <w:t xml:space="preserve"> jest obecna w 14 regionach, by być bliżej potrzebujących.</w:t>
      </w:r>
      <w:r>
        <w:t xml:space="preserve"> </w:t>
      </w:r>
      <w:r>
        <w:rPr>
          <w:rFonts w:hint="eastAsia"/>
        </w:rPr>
        <w:t xml:space="preserve">Dodatkowo, </w:t>
      </w:r>
      <w:proofErr w:type="spellStart"/>
      <w:r>
        <w:rPr>
          <w:rFonts w:hint="eastAsia"/>
        </w:rPr>
        <w:t>Agefiph</w:t>
      </w:r>
      <w:proofErr w:type="spellEnd"/>
      <w:r>
        <w:rPr>
          <w:rFonts w:hint="eastAsia"/>
        </w:rPr>
        <w:t xml:space="preserve"> udostępnia centrum zasobów zawierające dokumenty referencyjne, przewodniki, narzędzia, badania i statystyki oraz ponad 500 świadectw od firm i osób niepełnosprawnych.</w:t>
      </w:r>
    </w:p>
    <w:p w14:paraId="0E2C9656" w14:textId="7E488D73" w:rsidR="0040756F" w:rsidRPr="004270D6" w:rsidRDefault="00000000" w:rsidP="004270D6">
      <w:pPr>
        <w:jc w:val="right"/>
        <w:rPr>
          <w:rStyle w:val="Hipercze"/>
          <w:color w:val="C00000"/>
        </w:rPr>
      </w:pPr>
      <w:hyperlink r:id="rId13" w:history="1">
        <w:r w:rsidR="004270D6" w:rsidRPr="004270D6">
          <w:rPr>
            <w:rStyle w:val="Hipercze"/>
            <w:color w:val="C00000"/>
          </w:rPr>
          <w:t>https://www.agefiph.fr</w:t>
        </w:r>
      </w:hyperlink>
    </w:p>
    <w:p w14:paraId="3463B4EF" w14:textId="2BCEE539" w:rsidR="0040756F" w:rsidRPr="003C2188" w:rsidRDefault="003C2188" w:rsidP="003C2188">
      <w:pPr>
        <w:pStyle w:val="Nagwek1"/>
        <w:spacing w:before="600" w:after="800"/>
        <w:rPr>
          <w:sz w:val="52"/>
          <w:szCs w:val="52"/>
        </w:rPr>
      </w:pPr>
      <w:bookmarkStart w:id="6" w:name="_Toc154755628"/>
      <w:r w:rsidRPr="003C2188">
        <w:rPr>
          <w:sz w:val="52"/>
          <w:szCs w:val="52"/>
        </w:rPr>
        <w:t>Ukierunkowane szkolenia wzmacniające pozycję kluczowych podmiotów</w:t>
      </w:r>
      <w:bookmarkEnd w:id="6"/>
    </w:p>
    <w:p w14:paraId="19AF0D31" w14:textId="6AE4BECF" w:rsidR="0040756F" w:rsidRDefault="0040756F" w:rsidP="0040756F">
      <w:r w:rsidRPr="0040756F">
        <w:t xml:space="preserve">W obliczu rosnącej niepewności na rynku pracy praktycy zawodowi potrzebują zaawansowanych narzędzi i </w:t>
      </w:r>
      <w:r w:rsidR="003C2188">
        <w:t>ciągłych</w:t>
      </w:r>
      <w:r w:rsidRPr="0040756F">
        <w:t xml:space="preserve"> szkoleń, które umożliwią im szybkie reagowanie na zmieniające się wymagania. Osoby pracujące z osobami </w:t>
      </w:r>
      <w:r w:rsidR="003C2188">
        <w:t xml:space="preserve">z </w:t>
      </w:r>
      <w:r w:rsidRPr="0040756F">
        <w:t>niepełnosprawn</w:t>
      </w:r>
      <w:r w:rsidR="003C2188">
        <w:t xml:space="preserve">ościami </w:t>
      </w:r>
      <w:r w:rsidRPr="0040756F">
        <w:t>muszą być świadome lokalnego</w:t>
      </w:r>
      <w:r w:rsidR="003C2188">
        <w:t>:</w:t>
      </w:r>
      <w:r w:rsidRPr="0040756F">
        <w:t xml:space="preserve"> zapotrzebowania na umiejętności, barier na rynku pracy, krajobrazu usług, firm zatrudniających osoby </w:t>
      </w:r>
      <w:r w:rsidR="003C2188">
        <w:t>z </w:t>
      </w:r>
      <w:r w:rsidRPr="0040756F">
        <w:t>niepełnosprawn</w:t>
      </w:r>
      <w:r w:rsidR="003C2188">
        <w:t>ościami</w:t>
      </w:r>
      <w:r w:rsidRPr="0040756F">
        <w:t xml:space="preserve">, znaczenia rozwijania umiejętności zawodowych </w:t>
      </w:r>
      <w:r w:rsidR="003C2188">
        <w:t>przez</w:t>
      </w:r>
      <w:r w:rsidRPr="0040756F">
        <w:t xml:space="preserve"> całe życie. W zależności od potrzeb klienta, od specjalistów zawodowych mogą być wymagane umiejętności komunikacyjne, takie jak umiejętności językowe (w tym język migowy</w:t>
      </w:r>
      <w:r w:rsidR="003C2188">
        <w:t>)</w:t>
      </w:r>
      <w:r w:rsidRPr="0040756F">
        <w:t>.</w:t>
      </w:r>
    </w:p>
    <w:p w14:paraId="111F1288" w14:textId="77777777" w:rsidR="004270D6" w:rsidRDefault="004270D6" w:rsidP="0040756F"/>
    <w:p w14:paraId="3149D9B6" w14:textId="2C3CA4A0" w:rsidR="004270D6" w:rsidRPr="004270D6" w:rsidRDefault="004270D6" w:rsidP="004270D6">
      <w:pPr>
        <w:pStyle w:val="Nagwek3"/>
        <w:rPr>
          <w:color w:val="C00000"/>
        </w:rPr>
      </w:pPr>
      <w:bookmarkStart w:id="7" w:name="_Toc154755629"/>
      <w:proofErr w:type="spellStart"/>
      <w:r w:rsidRPr="004270D6">
        <w:rPr>
          <w:color w:val="C00000"/>
        </w:rPr>
        <w:lastRenderedPageBreak/>
        <w:t>Ik</w:t>
      </w:r>
      <w:proofErr w:type="spellEnd"/>
      <w:r w:rsidRPr="004270D6">
        <w:rPr>
          <w:color w:val="C00000"/>
        </w:rPr>
        <w:t xml:space="preserve"> </w:t>
      </w:r>
      <w:proofErr w:type="spellStart"/>
      <w:r w:rsidRPr="004270D6">
        <w:rPr>
          <w:color w:val="C00000"/>
        </w:rPr>
        <w:t>ben</w:t>
      </w:r>
      <w:proofErr w:type="spellEnd"/>
      <w:r w:rsidRPr="004270D6">
        <w:rPr>
          <w:color w:val="C00000"/>
        </w:rPr>
        <w:t xml:space="preserve"> </w:t>
      </w:r>
      <w:proofErr w:type="spellStart"/>
      <w:r w:rsidRPr="004270D6">
        <w:rPr>
          <w:color w:val="C00000"/>
        </w:rPr>
        <w:t>Harrie</w:t>
      </w:r>
      <w:proofErr w:type="spellEnd"/>
      <w:r w:rsidRPr="004270D6">
        <w:rPr>
          <w:color w:val="C00000"/>
        </w:rPr>
        <w:t>, Holandia</w:t>
      </w:r>
      <w:bookmarkEnd w:id="7"/>
    </w:p>
    <w:p w14:paraId="079664BD" w14:textId="02884DAD" w:rsidR="004270D6" w:rsidRDefault="004270D6" w:rsidP="004270D6">
      <w:r>
        <w:t>Projekt "</w:t>
      </w:r>
      <w:proofErr w:type="spellStart"/>
      <w:r>
        <w:t>Ik</w:t>
      </w:r>
      <w:proofErr w:type="spellEnd"/>
      <w:r>
        <w:t xml:space="preserve"> </w:t>
      </w:r>
      <w:proofErr w:type="spellStart"/>
      <w:r>
        <w:t>ben</w:t>
      </w:r>
      <w:proofErr w:type="spellEnd"/>
      <w:r>
        <w:t xml:space="preserve"> </w:t>
      </w:r>
      <w:proofErr w:type="spellStart"/>
      <w:r>
        <w:t>Harrie</w:t>
      </w:r>
      <w:proofErr w:type="spellEnd"/>
      <w:r>
        <w:t xml:space="preserve">" skupia się na szkoleniu dobrych „kolegów-pracowników”, którzy wspierają na miejscu pracy osoby ze szczególnymi potrzebami. </w:t>
      </w:r>
      <w:proofErr w:type="spellStart"/>
      <w:r>
        <w:t>Harrie</w:t>
      </w:r>
      <w:proofErr w:type="spellEnd"/>
      <w:r>
        <w:t xml:space="preserve"> to akronim od holenderskich słów oznaczających pomocny, czujny, realistyczny, spokojny, instruktażowy i uczciwy. Szkolenie "</w:t>
      </w:r>
      <w:proofErr w:type="spellStart"/>
      <w:r>
        <w:t>Harrie</w:t>
      </w:r>
      <w:proofErr w:type="spellEnd"/>
      <w:r>
        <w:t xml:space="preserve"> </w:t>
      </w:r>
      <w:proofErr w:type="spellStart"/>
      <w:r>
        <w:t>Helpt</w:t>
      </w:r>
      <w:proofErr w:type="spellEnd"/>
      <w:r>
        <w:t xml:space="preserve">" jest dwudniowe i przygotowuje uczestników do roli </w:t>
      </w:r>
      <w:proofErr w:type="spellStart"/>
      <w:r>
        <w:t>Harrie</w:t>
      </w:r>
      <w:proofErr w:type="spellEnd"/>
      <w:r>
        <w:t xml:space="preserve">, czyli idealnego kolegi osoby z ograniczeniami w pracy. Szkolenie obejmuje tematy takie jak kompetencje </w:t>
      </w:r>
      <w:proofErr w:type="spellStart"/>
      <w:r>
        <w:t>Harrie</w:t>
      </w:r>
      <w:proofErr w:type="spellEnd"/>
      <w:r>
        <w:t>, praktyczne narzędzia wsparcia na miejscu pra</w:t>
      </w:r>
      <w:r>
        <w:rPr>
          <w:rFonts w:hint="eastAsia"/>
        </w:rPr>
        <w:t>cy, zrozumienie grupy docelowej osób z ograniczeniami, interwizje, praktyczne przykłady i techniki rozmowy.</w:t>
      </w:r>
    </w:p>
    <w:p w14:paraId="2FA36959" w14:textId="77777777" w:rsidR="004270D6" w:rsidRDefault="004270D6" w:rsidP="004270D6"/>
    <w:p w14:paraId="37952129" w14:textId="63F96203" w:rsidR="004270D6" w:rsidRDefault="004270D6" w:rsidP="004270D6">
      <w:r>
        <w:t>Celem szkolenia "</w:t>
      </w:r>
      <w:proofErr w:type="spellStart"/>
      <w:r>
        <w:t>Harrie</w:t>
      </w:r>
      <w:proofErr w:type="spellEnd"/>
      <w:r>
        <w:t xml:space="preserve"> </w:t>
      </w:r>
      <w:proofErr w:type="spellStart"/>
      <w:r>
        <w:t>Helpt</w:t>
      </w:r>
      <w:proofErr w:type="spellEnd"/>
      <w:r>
        <w:t>" jest wsparcie pracodawców w skutecznym i trwałym zatrudnianiu osób w niekorzystnej pozycji na rynku pracy. Szkolenie to jest dostępne dla każdego, kto pracuje lub zamierza pracować z tą grupą docelową, bez względu na wcześnie</w:t>
      </w:r>
      <w:r>
        <w:rPr>
          <w:rFonts w:hint="eastAsia"/>
        </w:rPr>
        <w:t>jszą wiedzę czy poziom wykształcenia.</w:t>
      </w:r>
    </w:p>
    <w:p w14:paraId="475C7107" w14:textId="3610B27F" w:rsidR="004270D6" w:rsidRDefault="004270D6" w:rsidP="004270D6">
      <w:r>
        <w:t>Projekt oferuje również wariant "</w:t>
      </w:r>
      <w:proofErr w:type="spellStart"/>
      <w:r>
        <w:t>Harrie</w:t>
      </w:r>
      <w:proofErr w:type="spellEnd"/>
      <w:r>
        <w:t xml:space="preserve"> </w:t>
      </w:r>
      <w:proofErr w:type="spellStart"/>
      <w:r>
        <w:t>Helpt</w:t>
      </w:r>
      <w:proofErr w:type="spellEnd"/>
      <w:r>
        <w:t xml:space="preserve"> </w:t>
      </w:r>
      <w:proofErr w:type="spellStart"/>
      <w:r>
        <w:t>Incompany</w:t>
      </w:r>
      <w:proofErr w:type="spellEnd"/>
      <w:r>
        <w:t>", który jest dostosowany do potrzeb konkretnych organizacji, a także specjalne szkolenie "</w:t>
      </w:r>
      <w:proofErr w:type="spellStart"/>
      <w:r>
        <w:t>Expeditie</w:t>
      </w:r>
      <w:proofErr w:type="spellEnd"/>
      <w:r>
        <w:t xml:space="preserve"> </w:t>
      </w:r>
      <w:proofErr w:type="spellStart"/>
      <w:r>
        <w:t>Harrie</w:t>
      </w:r>
      <w:proofErr w:type="spellEnd"/>
      <w:r>
        <w:t>" o krótszym czasie trwania, mające na celu stworzenie wsparcia dla zatrudnienia osób z ograni</w:t>
      </w:r>
      <w:r>
        <w:rPr>
          <w:rFonts w:hint="eastAsia"/>
        </w:rPr>
        <w:t>czeniami w pracy w zespołach i działach. Dodatkowo, istnieje wersja programu "</w:t>
      </w:r>
      <w:proofErr w:type="spellStart"/>
      <w:r>
        <w:rPr>
          <w:rFonts w:hint="eastAsia"/>
        </w:rPr>
        <w:t>Harrie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Helpt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Statushouders</w:t>
      </w:r>
      <w:proofErr w:type="spellEnd"/>
      <w:r>
        <w:rPr>
          <w:rFonts w:hint="eastAsia"/>
        </w:rPr>
        <w:t xml:space="preserve">" skierowana do wspierania pracowników z innym </w:t>
      </w:r>
      <w:r>
        <w:t>kręgów</w:t>
      </w:r>
      <w:r>
        <w:rPr>
          <w:rFonts w:hint="eastAsia"/>
        </w:rPr>
        <w:t xml:space="preserve"> kulturowy</w:t>
      </w:r>
      <w:r>
        <w:t>ch</w:t>
      </w:r>
      <w:r>
        <w:rPr>
          <w:rFonts w:hint="eastAsia"/>
        </w:rPr>
        <w:t xml:space="preserve"> lub barierami językowymi.</w:t>
      </w:r>
    </w:p>
    <w:p w14:paraId="46D7FA4D" w14:textId="1413BB7C" w:rsidR="004270D6" w:rsidRPr="004270D6" w:rsidRDefault="00000000" w:rsidP="004270D6">
      <w:pPr>
        <w:jc w:val="right"/>
        <w:rPr>
          <w:rStyle w:val="Hipercze"/>
          <w:color w:val="C00000"/>
        </w:rPr>
      </w:pPr>
      <w:hyperlink r:id="rId14" w:history="1">
        <w:r w:rsidR="004270D6" w:rsidRPr="004270D6">
          <w:rPr>
            <w:rStyle w:val="Hipercze"/>
            <w:color w:val="C00000"/>
          </w:rPr>
          <w:t>https://www.ikbenharrie.nl</w:t>
        </w:r>
      </w:hyperlink>
    </w:p>
    <w:p w14:paraId="0CDCA21C" w14:textId="6D966F49" w:rsidR="003C2188" w:rsidRPr="003C2188" w:rsidRDefault="003C2188" w:rsidP="003C2188">
      <w:pPr>
        <w:pStyle w:val="Nagwek1"/>
        <w:spacing w:before="600" w:after="800"/>
        <w:rPr>
          <w:sz w:val="52"/>
          <w:szCs w:val="52"/>
        </w:rPr>
      </w:pPr>
      <w:bookmarkStart w:id="8" w:name="_Toc154755630"/>
      <w:r w:rsidRPr="003C2188">
        <w:rPr>
          <w:sz w:val="52"/>
          <w:szCs w:val="52"/>
        </w:rPr>
        <w:lastRenderedPageBreak/>
        <w:t>Uniwersalny dostęp i</w:t>
      </w:r>
      <w:r>
        <w:rPr>
          <w:sz w:val="52"/>
          <w:szCs w:val="52"/>
        </w:rPr>
        <w:t> </w:t>
      </w:r>
      <w:r w:rsidRPr="003C2188">
        <w:rPr>
          <w:sz w:val="52"/>
          <w:szCs w:val="52"/>
        </w:rPr>
        <w:t>systemy dualne</w:t>
      </w:r>
      <w:bookmarkEnd w:id="8"/>
    </w:p>
    <w:p w14:paraId="0439D2E9" w14:textId="2C5A415F" w:rsidR="0040756F" w:rsidRDefault="0040756F" w:rsidP="0040756F">
      <w:r w:rsidRPr="0040756F">
        <w:t xml:space="preserve">W wielu krajach europejskich podejmowane są działania mające na celu rozwój wszechstronnych systemów doradztwa zawodowego </w:t>
      </w:r>
      <w:r w:rsidR="003C2188">
        <w:t>dla kształcenia ustawicznego</w:t>
      </w:r>
      <w:r w:rsidRPr="0040756F">
        <w:t xml:space="preserve">. Systemy zapewniające powszechny dostęp dla wszystkich mogą skorzystać ze zmian systemowych, aby zbudować trwałe doradztwo niezależne od zmian rządowych czy doraźnych rozwiązań. Systemy </w:t>
      </w:r>
      <w:r w:rsidR="003C2188">
        <w:t>dualne</w:t>
      </w:r>
      <w:r w:rsidRPr="0040756F">
        <w:t xml:space="preserve">, oferujące ukierunkowane doradztwo zawodowe dla osób </w:t>
      </w:r>
      <w:r w:rsidR="003C2188">
        <w:t xml:space="preserve">z </w:t>
      </w:r>
      <w:r w:rsidRPr="0040756F">
        <w:t>niepełnosprawn</w:t>
      </w:r>
      <w:r w:rsidR="003C2188">
        <w:t>ościami</w:t>
      </w:r>
      <w:r w:rsidRPr="0040756F">
        <w:t xml:space="preserve"> przy równoczesnym wsparciu ich równego dostępu do otwartego rynku pracy i głównych usług doradztwa, mogą najlepiej odpowiadać na różnorodne potrzeby </w:t>
      </w:r>
      <w:r w:rsidR="003C2188">
        <w:t xml:space="preserve">takich </w:t>
      </w:r>
      <w:r w:rsidRPr="0040756F">
        <w:t>osób.</w:t>
      </w:r>
    </w:p>
    <w:p w14:paraId="69BD1C4A" w14:textId="77777777" w:rsidR="004270D6" w:rsidRDefault="004270D6" w:rsidP="0040756F"/>
    <w:p w14:paraId="0D223783" w14:textId="3383D294" w:rsidR="004270D6" w:rsidRPr="00290912" w:rsidRDefault="00290912" w:rsidP="00290912">
      <w:pPr>
        <w:pStyle w:val="Nagwek3"/>
        <w:rPr>
          <w:color w:val="C00000"/>
        </w:rPr>
      </w:pPr>
      <w:bookmarkStart w:id="9" w:name="_Toc154755631"/>
      <w:r w:rsidRPr="00290912">
        <w:rPr>
          <w:color w:val="C00000"/>
        </w:rPr>
        <w:t>Uniwersalna strategia włączenia, Szwecja</w:t>
      </w:r>
      <w:bookmarkEnd w:id="9"/>
    </w:p>
    <w:p w14:paraId="74696503" w14:textId="4E314FA2" w:rsidR="00290912" w:rsidRDefault="00290912" w:rsidP="00290912">
      <w:r>
        <w:t xml:space="preserve">Inicjatywa </w:t>
      </w:r>
      <w:proofErr w:type="spellStart"/>
      <w:r>
        <w:t>Arbetsförmedlingen</w:t>
      </w:r>
      <w:proofErr w:type="spellEnd"/>
      <w:r>
        <w:t xml:space="preserve"> w Szwecji oferuje wsparcie osobom z niepełnosprawnościami, diagnozami, chorobami lub innymi trudnościami w zakresie zatrudnienia. Osoby uprawnione do wsparcia mogą doświadczać różnorodnych problemów, takich jak trudności pozna</w:t>
      </w:r>
      <w:r>
        <w:rPr>
          <w:rFonts w:hint="eastAsia"/>
        </w:rPr>
        <w:t>wcze, językowe, problemy zdrowotne, ograniczenia ruchowe, problemy ze wzrokiem, słuchem, a także zaburzenia spowodowane nadużywaniem substancj</w:t>
      </w:r>
      <w:r>
        <w:t>i.</w:t>
      </w:r>
    </w:p>
    <w:p w14:paraId="7E195187" w14:textId="3A3825FF" w:rsidR="00290912" w:rsidRDefault="00290912" w:rsidP="00290912">
      <w:proofErr w:type="spellStart"/>
      <w:r>
        <w:t>Arbetsförmedlingen</w:t>
      </w:r>
      <w:proofErr w:type="spellEnd"/>
      <w:r>
        <w:t xml:space="preserve"> oferuje różne formy wsparcia, w tym pomoc w poszukiwaniu pracy, adaptację miejsca pracy, rehabilitację zawodową, wsparcie w szukaniu pracy, w tym pomoc w pisaniu aplikacji, wsparcie szkoleniowe oraz tłumacza języka migowego podczas uczes</w:t>
      </w:r>
      <w:r>
        <w:rPr>
          <w:rFonts w:hint="eastAsia"/>
        </w:rPr>
        <w:t>tnictwa w działaniach organizacji. Ponadto, oferowane jest wsparcie bezpośrednio w miejscu pracy, w tym dostosowanie obowiązków i tempa pracy oraz wsparcie finansowe na potrzebne środki</w:t>
      </w:r>
      <w:r>
        <w:t xml:space="preserve"> pomocnicze</w:t>
      </w:r>
      <w:r>
        <w:rPr>
          <w:rFonts w:hint="eastAsia"/>
        </w:rPr>
        <w:t>.</w:t>
      </w:r>
    </w:p>
    <w:p w14:paraId="5549893A" w14:textId="1DCA5C71" w:rsidR="00290912" w:rsidRDefault="00290912" w:rsidP="00290912">
      <w:r>
        <w:lastRenderedPageBreak/>
        <w:t xml:space="preserve">Aby otrzymać wsparcie, osoby zainteresowane muszą zarejestrować się jako poszukujący pracy i poinformować o swoich trudnościach. Organizacja ta udostępnia również dodatkowe informacje oraz materiały edukacyjne dla osób z niepełnosprawnościami i ich rodzin. </w:t>
      </w:r>
      <w:proofErr w:type="spellStart"/>
      <w:r>
        <w:t>Arbet</w:t>
      </w:r>
      <w:r>
        <w:rPr>
          <w:rFonts w:hint="eastAsia"/>
        </w:rPr>
        <w:t>sförmedlingen</w:t>
      </w:r>
      <w:proofErr w:type="spellEnd"/>
      <w:r>
        <w:rPr>
          <w:rFonts w:hint="eastAsia"/>
        </w:rPr>
        <w:t xml:space="preserve"> jest również </w:t>
      </w:r>
      <w:r>
        <w:t>udziela informacji w zakresie</w:t>
      </w:r>
      <w:r>
        <w:rPr>
          <w:rFonts w:hint="eastAsia"/>
        </w:rPr>
        <w:t xml:space="preserve"> wsparcia, pomocy w rejestracji na stronie internetowej, wyjaśniania wątpliwości przed spotkaniami oraz doradztwa w zakresie zakończenia zatrudnienia z wsparciem.</w:t>
      </w:r>
    </w:p>
    <w:p w14:paraId="1B0D3E94" w14:textId="042DFF2F" w:rsidR="00290912" w:rsidRPr="00290912" w:rsidRDefault="00000000" w:rsidP="00290912">
      <w:pPr>
        <w:jc w:val="right"/>
        <w:rPr>
          <w:rStyle w:val="Hipercze"/>
          <w:color w:val="C00000"/>
        </w:rPr>
      </w:pPr>
      <w:hyperlink r:id="rId15" w:history="1">
        <w:r w:rsidR="00290912" w:rsidRPr="00290912">
          <w:rPr>
            <w:rStyle w:val="Hipercze"/>
            <w:color w:val="C00000"/>
          </w:rPr>
          <w:t>https://arbetsformedlingen.se/other-languages/english-engelska/additional-support/disability</w:t>
        </w:r>
      </w:hyperlink>
    </w:p>
    <w:p w14:paraId="40AEDC2B" w14:textId="77777777" w:rsidR="00290912" w:rsidRDefault="00290912" w:rsidP="00290912"/>
    <w:p w14:paraId="5FE9D691" w14:textId="77777777" w:rsidR="004270D6" w:rsidRPr="0040756F" w:rsidRDefault="004270D6" w:rsidP="0040756F"/>
    <w:sectPr w:rsidR="004270D6" w:rsidRPr="0040756F" w:rsidSect="009F40AA">
      <w:footerReference w:type="default" r:id="rId16"/>
      <w:headerReference w:type="first" r:id="rId17"/>
      <w:footerReference w:type="first" r:id="rId18"/>
      <w:pgSz w:w="11907" w:h="16839" w:code="9"/>
      <w:pgMar w:top="1440" w:right="1800" w:bottom="1440" w:left="180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14FB" w14:textId="77777777" w:rsidR="009F40AA" w:rsidRDefault="009F40AA">
      <w:pPr>
        <w:spacing w:after="0" w:line="240" w:lineRule="auto"/>
      </w:pPr>
      <w:r>
        <w:separator/>
      </w:r>
    </w:p>
  </w:endnote>
  <w:endnote w:type="continuationSeparator" w:id="0">
    <w:p w14:paraId="7B0D434D" w14:textId="77777777" w:rsidR="009F40AA" w:rsidRDefault="009F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35235" w14:textId="77777777" w:rsidR="009E4642" w:rsidRDefault="00816F0E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7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4EB9" w14:textId="5ED75EDE" w:rsidR="00D355AE" w:rsidRDefault="00D355AE">
    <w:pPr>
      <w:pStyle w:val="Stopka"/>
    </w:pPr>
    <w:r w:rsidRPr="00D355AE">
      <w:rPr>
        <w:noProof/>
      </w:rPr>
      <w:drawing>
        <wp:anchor distT="0" distB="0" distL="114300" distR="114300" simplePos="0" relativeHeight="251661312" behindDoc="0" locked="0" layoutInCell="1" allowOverlap="1" wp14:anchorId="21051E0C" wp14:editId="605DF6D6">
          <wp:simplePos x="0" y="0"/>
          <wp:positionH relativeFrom="column">
            <wp:posOffset>4227830</wp:posOffset>
          </wp:positionH>
          <wp:positionV relativeFrom="paragraph">
            <wp:posOffset>-44450</wp:posOffset>
          </wp:positionV>
          <wp:extent cx="2023110" cy="652145"/>
          <wp:effectExtent l="0" t="0" r="0" b="0"/>
          <wp:wrapNone/>
          <wp:docPr id="114574120" name="Obraz 114574120">
            <a:extLst xmlns:a="http://schemas.openxmlformats.org/drawingml/2006/main">
              <a:ext uri="{FF2B5EF4-FFF2-40B4-BE49-F238E27FC236}">
                <a16:creationId xmlns:a16="http://schemas.microsoft.com/office/drawing/2014/main" id="{B437C296-F9C8-A348-CF17-AAFE945040DA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>
                    <a:extLst>
                      <a:ext uri="{FF2B5EF4-FFF2-40B4-BE49-F238E27FC236}">
                        <a16:creationId xmlns:a16="http://schemas.microsoft.com/office/drawing/2014/main" id="{B437C296-F9C8-A348-CF17-AAFE945040DA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5AE">
      <w:rPr>
        <w:noProof/>
      </w:rPr>
      <w:drawing>
        <wp:anchor distT="0" distB="0" distL="114300" distR="114300" simplePos="0" relativeHeight="251660288" behindDoc="0" locked="0" layoutInCell="1" allowOverlap="1" wp14:anchorId="7941201B" wp14:editId="6D8D4A08">
          <wp:simplePos x="0" y="0"/>
          <wp:positionH relativeFrom="column">
            <wp:posOffset>1554480</wp:posOffset>
          </wp:positionH>
          <wp:positionV relativeFrom="paragraph">
            <wp:posOffset>-37465</wp:posOffset>
          </wp:positionV>
          <wp:extent cx="2221230" cy="652145"/>
          <wp:effectExtent l="0" t="0" r="0" b="0"/>
          <wp:wrapNone/>
          <wp:docPr id="2022469890" name="Obraz 2022469890">
            <a:extLst xmlns:a="http://schemas.openxmlformats.org/drawingml/2006/main">
              <a:ext uri="{FF2B5EF4-FFF2-40B4-BE49-F238E27FC236}">
                <a16:creationId xmlns:a16="http://schemas.microsoft.com/office/drawing/2014/main" id="{99BAED20-6842-B7DB-8E17-81F2C74AA230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>
                    <a:extLst>
                      <a:ext uri="{FF2B5EF4-FFF2-40B4-BE49-F238E27FC236}">
                        <a16:creationId xmlns:a16="http://schemas.microsoft.com/office/drawing/2014/main" id="{99BAED20-6842-B7DB-8E17-81F2C74AA230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5AE">
      <w:rPr>
        <w:noProof/>
      </w:rPr>
      <w:drawing>
        <wp:anchor distT="0" distB="0" distL="114300" distR="114300" simplePos="0" relativeHeight="251659264" behindDoc="0" locked="0" layoutInCell="1" allowOverlap="1" wp14:anchorId="329628A6" wp14:editId="2263E678">
          <wp:simplePos x="0" y="0"/>
          <wp:positionH relativeFrom="column">
            <wp:posOffset>-989584</wp:posOffset>
          </wp:positionH>
          <wp:positionV relativeFrom="paragraph">
            <wp:posOffset>-44259</wp:posOffset>
          </wp:positionV>
          <wp:extent cx="1748162" cy="652229"/>
          <wp:effectExtent l="0" t="0" r="0" b="0"/>
          <wp:wrapNone/>
          <wp:docPr id="246443081" name="Obraz 246443081">
            <a:extLst xmlns:a="http://schemas.openxmlformats.org/drawingml/2006/main">
              <a:ext uri="{FF2B5EF4-FFF2-40B4-BE49-F238E27FC236}">
                <a16:creationId xmlns:a16="http://schemas.microsoft.com/office/drawing/2014/main" id="{58FF6316-21DA-6864-73CE-50B30247D9A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>
                    <a:extLst>
                      <a:ext uri="{FF2B5EF4-FFF2-40B4-BE49-F238E27FC236}">
                        <a16:creationId xmlns:a16="http://schemas.microsoft.com/office/drawing/2014/main" id="{58FF6316-21DA-6864-73CE-50B30247D9A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62" cy="652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01BC" w14:textId="77777777" w:rsidR="009F40AA" w:rsidRDefault="009F40AA">
      <w:pPr>
        <w:spacing w:after="0" w:line="240" w:lineRule="auto"/>
      </w:pPr>
      <w:r>
        <w:separator/>
      </w:r>
    </w:p>
  </w:footnote>
  <w:footnote w:type="continuationSeparator" w:id="0">
    <w:p w14:paraId="0B184DBE" w14:textId="77777777" w:rsidR="009F40AA" w:rsidRDefault="009F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F3F0" w14:textId="2E309A0D" w:rsidR="00D355AE" w:rsidRDefault="008C1765" w:rsidP="00284055">
    <w:pPr>
      <w:pStyle w:val="Nagwek"/>
      <w:jc w:val="center"/>
    </w:pPr>
    <w:r w:rsidRPr="008C1765">
      <w:rPr>
        <w:noProof/>
      </w:rPr>
      <w:drawing>
        <wp:inline distT="0" distB="0" distL="0" distR="0" wp14:anchorId="3C4572F4" wp14:editId="1F551BEF">
          <wp:extent cx="5093091" cy="1242770"/>
          <wp:effectExtent l="0" t="0" r="0" b="1905"/>
          <wp:docPr id="661003132" name="Obraz 6610031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873" cy="1261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E0BEA"/>
    <w:multiLevelType w:val="hybridMultilevel"/>
    <w:tmpl w:val="A3824640"/>
    <w:lvl w:ilvl="0" w:tplc="369EC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5952" w:themeColor="accent1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072BB"/>
    <w:multiLevelType w:val="hybridMultilevel"/>
    <w:tmpl w:val="6CDA4470"/>
    <w:lvl w:ilvl="0" w:tplc="F1303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2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09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2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60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42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04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42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CF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804354"/>
    <w:multiLevelType w:val="hybridMultilevel"/>
    <w:tmpl w:val="3794B618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3BC3"/>
    <w:multiLevelType w:val="hybridMultilevel"/>
    <w:tmpl w:val="FB6AD80A"/>
    <w:lvl w:ilvl="0" w:tplc="7EEE0B26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45D24"/>
    <w:multiLevelType w:val="hybridMultilevel"/>
    <w:tmpl w:val="E8E8C548"/>
    <w:lvl w:ilvl="0" w:tplc="E034C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2B4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4C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C7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A8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0E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EA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C4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EB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874534A"/>
    <w:multiLevelType w:val="hybridMultilevel"/>
    <w:tmpl w:val="0CA2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34274"/>
    <w:multiLevelType w:val="hybridMultilevel"/>
    <w:tmpl w:val="28DC00DE"/>
    <w:lvl w:ilvl="0" w:tplc="08B453DE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889846">
    <w:abstractNumId w:val="9"/>
  </w:num>
  <w:num w:numId="2" w16cid:durableId="841968185">
    <w:abstractNumId w:val="13"/>
  </w:num>
  <w:num w:numId="3" w16cid:durableId="1541821109">
    <w:abstractNumId w:val="13"/>
  </w:num>
  <w:num w:numId="4" w16cid:durableId="345835766">
    <w:abstractNumId w:val="13"/>
  </w:num>
  <w:num w:numId="5" w16cid:durableId="1497719792">
    <w:abstractNumId w:val="13"/>
  </w:num>
  <w:num w:numId="6" w16cid:durableId="1723867202">
    <w:abstractNumId w:val="8"/>
  </w:num>
  <w:num w:numId="7" w16cid:durableId="770393810">
    <w:abstractNumId w:val="17"/>
  </w:num>
  <w:num w:numId="8" w16cid:durableId="414329182">
    <w:abstractNumId w:val="7"/>
  </w:num>
  <w:num w:numId="9" w16cid:durableId="1422599415">
    <w:abstractNumId w:val="6"/>
  </w:num>
  <w:num w:numId="10" w16cid:durableId="1017000651">
    <w:abstractNumId w:val="5"/>
  </w:num>
  <w:num w:numId="11" w16cid:durableId="313339129">
    <w:abstractNumId w:val="4"/>
  </w:num>
  <w:num w:numId="12" w16cid:durableId="2122454483">
    <w:abstractNumId w:val="3"/>
  </w:num>
  <w:num w:numId="13" w16cid:durableId="468980742">
    <w:abstractNumId w:val="2"/>
  </w:num>
  <w:num w:numId="14" w16cid:durableId="159469307">
    <w:abstractNumId w:val="1"/>
  </w:num>
  <w:num w:numId="15" w16cid:durableId="703167829">
    <w:abstractNumId w:val="0"/>
  </w:num>
  <w:num w:numId="16" w16cid:durableId="889344446">
    <w:abstractNumId w:val="14"/>
  </w:num>
  <w:num w:numId="17" w16cid:durableId="834222573">
    <w:abstractNumId w:val="17"/>
  </w:num>
  <w:num w:numId="18" w16cid:durableId="726685999">
    <w:abstractNumId w:val="12"/>
  </w:num>
  <w:num w:numId="19" w16cid:durableId="276644214">
    <w:abstractNumId w:val="16"/>
  </w:num>
  <w:num w:numId="20" w16cid:durableId="2145460907">
    <w:abstractNumId w:val="17"/>
  </w:num>
  <w:num w:numId="21" w16cid:durableId="597758269">
    <w:abstractNumId w:val="17"/>
  </w:num>
  <w:num w:numId="22" w16cid:durableId="1857041394">
    <w:abstractNumId w:val="17"/>
  </w:num>
  <w:num w:numId="23" w16cid:durableId="1082871393">
    <w:abstractNumId w:val="17"/>
  </w:num>
  <w:num w:numId="24" w16cid:durableId="2014648638">
    <w:abstractNumId w:val="17"/>
  </w:num>
  <w:num w:numId="25" w16cid:durableId="17199636">
    <w:abstractNumId w:val="15"/>
  </w:num>
  <w:num w:numId="26" w16cid:durableId="471097370">
    <w:abstractNumId w:val="11"/>
  </w:num>
  <w:num w:numId="27" w16cid:durableId="15560394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F"/>
    <w:rsid w:val="000646A4"/>
    <w:rsid w:val="000834BA"/>
    <w:rsid w:val="00094595"/>
    <w:rsid w:val="000A6A69"/>
    <w:rsid w:val="000B4BB8"/>
    <w:rsid w:val="000E35E6"/>
    <w:rsid w:val="001157CF"/>
    <w:rsid w:val="00136D21"/>
    <w:rsid w:val="001668A8"/>
    <w:rsid w:val="00172FC9"/>
    <w:rsid w:val="001979D7"/>
    <w:rsid w:val="001A3B9A"/>
    <w:rsid w:val="001A6441"/>
    <w:rsid w:val="002129F2"/>
    <w:rsid w:val="00284055"/>
    <w:rsid w:val="00290912"/>
    <w:rsid w:val="002D47F0"/>
    <w:rsid w:val="002F0368"/>
    <w:rsid w:val="00313D15"/>
    <w:rsid w:val="0034564C"/>
    <w:rsid w:val="003C2188"/>
    <w:rsid w:val="003E6ACF"/>
    <w:rsid w:val="003F157D"/>
    <w:rsid w:val="0040756F"/>
    <w:rsid w:val="004270D6"/>
    <w:rsid w:val="00440C7E"/>
    <w:rsid w:val="004B7D8F"/>
    <w:rsid w:val="004C7724"/>
    <w:rsid w:val="004D64AB"/>
    <w:rsid w:val="00513676"/>
    <w:rsid w:val="00542D75"/>
    <w:rsid w:val="00577B7F"/>
    <w:rsid w:val="00584B01"/>
    <w:rsid w:val="005B7CC6"/>
    <w:rsid w:val="00600CA0"/>
    <w:rsid w:val="006A46BF"/>
    <w:rsid w:val="006C133E"/>
    <w:rsid w:val="0081596C"/>
    <w:rsid w:val="00816F0E"/>
    <w:rsid w:val="0082074F"/>
    <w:rsid w:val="008B27C2"/>
    <w:rsid w:val="008C1765"/>
    <w:rsid w:val="008C1B24"/>
    <w:rsid w:val="008C2C4F"/>
    <w:rsid w:val="00952B45"/>
    <w:rsid w:val="00956B77"/>
    <w:rsid w:val="00961273"/>
    <w:rsid w:val="009626D6"/>
    <w:rsid w:val="00976199"/>
    <w:rsid w:val="009D47CA"/>
    <w:rsid w:val="009E4642"/>
    <w:rsid w:val="009F159B"/>
    <w:rsid w:val="009F40AA"/>
    <w:rsid w:val="009F7AC5"/>
    <w:rsid w:val="00A36AE3"/>
    <w:rsid w:val="00A53779"/>
    <w:rsid w:val="00AE233F"/>
    <w:rsid w:val="00AF3720"/>
    <w:rsid w:val="00B42DD6"/>
    <w:rsid w:val="00B832D7"/>
    <w:rsid w:val="00D13AD7"/>
    <w:rsid w:val="00D355AE"/>
    <w:rsid w:val="00D86129"/>
    <w:rsid w:val="00DB3119"/>
    <w:rsid w:val="00DE33B7"/>
    <w:rsid w:val="00DE4A7C"/>
    <w:rsid w:val="00DE5E78"/>
    <w:rsid w:val="00E85059"/>
    <w:rsid w:val="00E9361F"/>
    <w:rsid w:val="00E94551"/>
    <w:rsid w:val="00F02B88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C4240"/>
  <w15:chartTrackingRefBased/>
  <w15:docId w15:val="{C9E8D8CF-DA64-C542-AC8A-FE9D86A4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color w:val="5F5F5F" w:themeColor="text2" w:themeTint="BF"/>
        <w:sz w:val="24"/>
        <w:szCs w:val="24"/>
        <w:lang w:val="pl-PL" w:eastAsia="ja-JP" w:bidi="pl-PL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F0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punktowana">
    <w:name w:val="List Bullet"/>
    <w:basedOn w:val="Normalny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Cytat">
    <w:name w:val="Quote"/>
    <w:basedOn w:val="Normalny"/>
    <w:next w:val="Normalny"/>
    <w:link w:val="CytatZnak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ytatZnak">
    <w:name w:val="Cytat Znak"/>
    <w:basedOn w:val="Domylnaczcionkaakapitu"/>
    <w:link w:val="Cytat"/>
    <w:uiPriority w:val="10"/>
    <w:rPr>
      <w:b/>
      <w:iCs/>
      <w:color w:val="F75952" w:themeColor="accent1"/>
      <w:sz w:val="54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Uwydatnienie">
    <w:name w:val="Emphasis"/>
    <w:basedOn w:val="Domylnaczcionkaakapitu"/>
    <w:uiPriority w:val="10"/>
    <w:qFormat/>
    <w:rPr>
      <w:b w:val="0"/>
      <w:i w:val="0"/>
      <w:iCs/>
      <w:color w:val="F75952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color w:val="F75952" w:themeColor="accent1"/>
      <w:sz w:val="54"/>
    </w:rPr>
  </w:style>
  <w:style w:type="paragraph" w:styleId="Akapitzlist">
    <w:name w:val="List Paragraph"/>
    <w:basedOn w:val="Normalny"/>
    <w:uiPriority w:val="34"/>
    <w:unhideWhenUsed/>
    <w:qFormat/>
    <w:pPr>
      <w:contextualSpacing/>
    </w:pPr>
    <w:rPr>
      <w:i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qFormat/>
    <w:pPr>
      <w:spacing w:after="1320"/>
      <w:outlineLvl w:val="9"/>
    </w:pPr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StopkaZnak">
    <w:name w:val="Stopka Znak"/>
    <w:basedOn w:val="Domylnaczcionkaakapitu"/>
    <w:link w:val="Stopka"/>
    <w:uiPriority w:val="99"/>
    <w:rPr>
      <w:b/>
      <w:color w:val="F75952" w:themeColor="accent1"/>
      <w:sz w:val="38"/>
      <w:szCs w:val="3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Pogrubienie">
    <w:name w:val="Strong"/>
    <w:basedOn w:val="Domylnaczcionkaakapitu"/>
    <w:uiPriority w:val="8"/>
    <w:semiHidden/>
    <w:unhideWhenUsed/>
    <w:qFormat/>
    <w:rPr>
      <w:b/>
      <w:bCs/>
      <w:color w:val="3E3E3E" w:themeColor="text2" w:themeTint="E6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5F5F5F" w:themeColor="text2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ytu">
    <w:name w:val="Title"/>
    <w:basedOn w:val="Normalny"/>
    <w:next w:val="Podtytu"/>
    <w:link w:val="TytuZnak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Podtytu">
    <w:name w:val="Subtitle"/>
    <w:basedOn w:val="Normalny"/>
    <w:next w:val="Autor"/>
    <w:link w:val="PodtytuZnak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PodtytuZnak">
    <w:name w:val="Podtytuł Znak"/>
    <w:basedOn w:val="Domylnaczcionkaakapitu"/>
    <w:link w:val="Podtytu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pPr>
      <w:spacing w:before="120" w:after="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39"/>
    <w:unhideWhenUsed/>
    <w:qFormat/>
    <w:pPr>
      <w:spacing w:before="120" w:after="0"/>
      <w:ind w:left="240"/>
    </w:pPr>
    <w:rPr>
      <w:b/>
      <w:bCs/>
      <w:sz w:val="22"/>
      <w:szCs w:val="22"/>
    </w:rPr>
  </w:style>
  <w:style w:type="table" w:customStyle="1" w:styleId="Generaltable">
    <w:name w:val="General table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ny"/>
    <w:uiPriority w:val="3"/>
    <w:qFormat/>
    <w:pPr>
      <w:spacing w:after="0"/>
    </w:pPr>
    <w:rPr>
      <w:b/>
      <w:color w:val="2A2A2A" w:themeColor="text2"/>
      <w:sz w:val="30"/>
    </w:r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Listanumerowana">
    <w:name w:val="List Number"/>
    <w:basedOn w:val="Normalny"/>
    <w:uiPriority w:val="13"/>
    <w:qFormat/>
    <w:pPr>
      <w:numPr>
        <w:numId w:val="16"/>
      </w:numPr>
    </w:pPr>
    <w:rPr>
      <w:i/>
    </w:rPr>
  </w:style>
  <w:style w:type="character" w:styleId="Hipercze">
    <w:name w:val="Hyperlink"/>
    <w:basedOn w:val="Domylnaczcionkaakapitu"/>
    <w:uiPriority w:val="99"/>
    <w:unhideWhenUsed/>
    <w:rsid w:val="00B832D7"/>
    <w:rPr>
      <w:color w:val="B67AC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2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B4BB8"/>
    <w:pPr>
      <w:spacing w:after="0" w:line="24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AF3720"/>
    <w:pPr>
      <w:spacing w:after="0"/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F3720"/>
    <w:pPr>
      <w:spacing w:after="0"/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F3720"/>
    <w:pPr>
      <w:spacing w:after="0"/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F3720"/>
    <w:pPr>
      <w:spacing w:after="0"/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F3720"/>
    <w:pPr>
      <w:spacing w:after="0"/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F3720"/>
    <w:pPr>
      <w:spacing w:after="0"/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F3720"/>
    <w:pPr>
      <w:spacing w:after="0"/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088">
          <w:marLeft w:val="461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467">
          <w:marLeft w:val="461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372">
          <w:marLeft w:val="461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461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gefiph.f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rbetsformedlingen.se/other-languages/english-engelska/additional-support/disability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kbenharrie.n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inkocor/Library/Containers/com.microsoft.Word/Data/Library/Application%20Support/Microsoft/Office/16.0/DTS/pl-PL%7b4C51B2CD-5B09-9F4B-A8E4-310880A8EEE5%7d/%7bEE408DD1-7BDC-DA4A-ABAB-303611473472%7dtf10002071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2F262BC0-24BC-3143-B96F-C1561F694A32}">
  <we:reference id="wa104379997" version="1.0.0.1" store="pl-PL" storeType="OMEX"/>
  <we:alternateReferences>
    <we:reference id="wa104379997" version="1.0.0.1" store="wa104379997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69B144F8-67AF-8C42-83AA-19F5929F11CE}">
  <we:reference id="wa104178141" version="4.3.3.0" store="pl-PL" storeType="OMEX"/>
  <we:alternateReferences>
    <we:reference id="WA104178141" version="4.3.3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083F78-D6DD-40BF-8378-BF9DFDAC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{EE408DD1-7BDC-DA4A-ABAB-303611473472}tf10002071.dotx</Template>
  <TotalTime>3</TotalTime>
  <Pages>8</Pages>
  <Words>1085</Words>
  <Characters>7597</Characters>
  <Application>Microsoft Office Word</Application>
  <DocSecurity>0</DocSecurity>
  <Lines>189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Kocór</dc:creator>
  <cp:keywords/>
  <dc:description/>
  <cp:lastModifiedBy>Marcin Kocór</cp:lastModifiedBy>
  <cp:revision>3</cp:revision>
  <dcterms:created xsi:type="dcterms:W3CDTF">2023-12-29T12:38:00Z</dcterms:created>
  <dcterms:modified xsi:type="dcterms:W3CDTF">2023-12-29T14:23:00Z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0x010100012E2E405031D74DB051ADDB3D34E572</vt:lpwstr>
  </property>
</Properties>
</file>