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3ECF" w14:textId="215901C2" w:rsidR="009E4642" w:rsidRPr="00E94551" w:rsidRDefault="00535A33" w:rsidP="0003415A">
      <w:pPr>
        <w:pStyle w:val="Tytu"/>
        <w:ind w:right="85"/>
        <w:jc w:val="center"/>
        <w:rPr>
          <w:sz w:val="56"/>
        </w:rPr>
      </w:pPr>
      <w:r>
        <w:rPr>
          <w:sz w:val="56"/>
        </w:rPr>
        <w:t>Osoby nieneurotypowe na rynku pracy</w:t>
      </w:r>
    </w:p>
    <w:p w14:paraId="1A0A663D" w14:textId="2480C965" w:rsidR="009E4642" w:rsidRDefault="009E4642">
      <w:pPr>
        <w:pStyle w:val="Podtytu"/>
      </w:pPr>
    </w:p>
    <w:p w14:paraId="1C01003D" w14:textId="3FF9A103" w:rsidR="009E4642" w:rsidRPr="00172FC9" w:rsidRDefault="0003415A" w:rsidP="00B832D7">
      <w:pPr>
        <w:jc w:val="center"/>
        <w:rPr>
          <w:caps/>
        </w:rPr>
      </w:pPr>
      <w:r>
        <w:rPr>
          <w:caps/>
          <w:noProof/>
        </w:rPr>
        <w:drawing>
          <wp:inline distT="0" distB="0" distL="0" distR="0" wp14:anchorId="66A2B638" wp14:editId="1FFCA9F5">
            <wp:extent cx="2743200" cy="4127500"/>
            <wp:effectExtent l="0" t="0" r="0" b="0"/>
            <wp:docPr id="136197022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0221" name="Obraz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743200" cy="4127500"/>
                    </a:xfrm>
                    <a:prstGeom prst="rect">
                      <a:avLst/>
                    </a:prstGeom>
                  </pic:spPr>
                </pic:pic>
              </a:graphicData>
            </a:graphic>
          </wp:inline>
        </w:drawing>
      </w:r>
    </w:p>
    <w:p w14:paraId="13A205F0" w14:textId="77777777" w:rsidR="00B832D7" w:rsidRDefault="00B832D7" w:rsidP="00B832D7">
      <w:pPr>
        <w:pStyle w:val="Autor"/>
        <w:jc w:val="right"/>
      </w:pPr>
    </w:p>
    <w:p w14:paraId="6D72E1F9" w14:textId="2C98A5BB" w:rsidR="009E4642" w:rsidRPr="00816F0E" w:rsidRDefault="00AF3720" w:rsidP="009D47CA">
      <w:pPr>
        <w:pStyle w:val="Autor"/>
      </w:pPr>
      <w:r>
        <w:t>Marcin Kocór</w:t>
      </w:r>
    </w:p>
    <w:p w14:paraId="6B54080A" w14:textId="77777777" w:rsidR="009E4642" w:rsidRPr="00816F0E" w:rsidRDefault="00816F0E">
      <w:r>
        <w:br w:type="page"/>
      </w:r>
    </w:p>
    <w:bookmarkStart w:id="0" w:name="_Toc152329325" w:displacedByCustomXml="next"/>
    <w:sdt>
      <w:sdtPr>
        <w:rPr>
          <w:rFonts w:asciiTheme="minorHAnsi" w:eastAsiaTheme="minorHAnsi" w:hAnsiTheme="minorHAnsi" w:cstheme="minorBidi"/>
          <w:b w:val="0"/>
          <w:caps w:val="0"/>
          <w:color w:val="5F5F5F" w:themeColor="text2" w:themeTint="BF"/>
          <w:sz w:val="24"/>
          <w:szCs w:val="24"/>
        </w:rPr>
        <w:id w:val="-1521388077"/>
        <w:docPartObj>
          <w:docPartGallery w:val="Table of Contents"/>
          <w:docPartUnique/>
        </w:docPartObj>
      </w:sdtPr>
      <w:sdtEndPr>
        <w:rPr>
          <w:rFonts w:eastAsia="MS Mincho"/>
          <w:bCs/>
          <w:noProof/>
        </w:rPr>
      </w:sdtEndPr>
      <w:sdtContent>
        <w:p w14:paraId="48AD683A" w14:textId="77777777" w:rsidR="00AF3720" w:rsidRPr="00AF3720" w:rsidRDefault="00AF3720">
          <w:pPr>
            <w:pStyle w:val="Nagwekspisutreci"/>
            <w:rPr>
              <w:color w:val="F75952" w:themeColor="accent1"/>
            </w:rPr>
          </w:pPr>
          <w:r w:rsidRPr="00AF3720">
            <w:rPr>
              <w:color w:val="F75952" w:themeColor="accent1"/>
            </w:rPr>
            <w:t>Spis</w:t>
          </w:r>
        </w:p>
        <w:p w14:paraId="1004354E" w14:textId="4C71E6BB" w:rsidR="00AF3720" w:rsidRDefault="00AF3720">
          <w:pPr>
            <w:pStyle w:val="Nagwekspisutreci"/>
          </w:pPr>
          <w:r>
            <w:t>treści</w:t>
          </w:r>
        </w:p>
        <w:p w14:paraId="79DB7D1D" w14:textId="48A3FCE6" w:rsidR="001344D1" w:rsidRPr="001344D1" w:rsidRDefault="00AF3720">
          <w:pPr>
            <w:pStyle w:val="Spistreci1"/>
            <w:tabs>
              <w:tab w:val="right" w:leader="dot" w:pos="8297"/>
            </w:tabs>
            <w:rPr>
              <w:rFonts w:eastAsiaTheme="minorEastAsia"/>
              <w:b w:val="0"/>
              <w:bCs w:val="0"/>
              <w:i w:val="0"/>
              <w:iCs w:val="0"/>
              <w:noProof/>
              <w:color w:val="auto"/>
              <w:kern w:val="2"/>
              <w:lang w:eastAsia="pl-PL" w:bidi="ar-SA"/>
              <w14:ligatures w14:val="standardContextual"/>
            </w:rPr>
          </w:pPr>
          <w:r w:rsidRPr="000834BA">
            <w:rPr>
              <w:b w:val="0"/>
              <w:bCs w:val="0"/>
              <w:i w:val="0"/>
              <w:iCs w:val="0"/>
              <w:sz w:val="28"/>
              <w:szCs w:val="28"/>
            </w:rPr>
            <w:fldChar w:fldCharType="begin"/>
          </w:r>
          <w:r w:rsidRPr="000834BA">
            <w:rPr>
              <w:i w:val="0"/>
              <w:iCs w:val="0"/>
              <w:sz w:val="28"/>
              <w:szCs w:val="28"/>
            </w:rPr>
            <w:instrText>TOC \o "1-3" \h \z \u</w:instrText>
          </w:r>
          <w:r w:rsidRPr="000834BA">
            <w:rPr>
              <w:b w:val="0"/>
              <w:bCs w:val="0"/>
              <w:i w:val="0"/>
              <w:iCs w:val="0"/>
              <w:sz w:val="28"/>
              <w:szCs w:val="28"/>
            </w:rPr>
            <w:fldChar w:fldCharType="separate"/>
          </w:r>
          <w:hyperlink w:anchor="_Toc154660464" w:history="1">
            <w:r w:rsidR="001344D1" w:rsidRPr="001344D1">
              <w:rPr>
                <w:rStyle w:val="Hipercze"/>
                <w:i w:val="0"/>
                <w:iCs w:val="0"/>
                <w:noProof/>
              </w:rPr>
              <w:t>Wprowadzenie</w:t>
            </w:r>
            <w:r w:rsidR="001344D1" w:rsidRPr="001344D1">
              <w:rPr>
                <w:i w:val="0"/>
                <w:iCs w:val="0"/>
                <w:noProof/>
                <w:webHidden/>
              </w:rPr>
              <w:tab/>
            </w:r>
            <w:r w:rsidR="001344D1" w:rsidRPr="001344D1">
              <w:rPr>
                <w:i w:val="0"/>
                <w:iCs w:val="0"/>
                <w:noProof/>
                <w:webHidden/>
              </w:rPr>
              <w:fldChar w:fldCharType="begin"/>
            </w:r>
            <w:r w:rsidR="001344D1" w:rsidRPr="001344D1">
              <w:rPr>
                <w:i w:val="0"/>
                <w:iCs w:val="0"/>
                <w:noProof/>
                <w:webHidden/>
              </w:rPr>
              <w:instrText xml:space="preserve"> PAGEREF _Toc154660464 \h </w:instrText>
            </w:r>
            <w:r w:rsidR="001344D1" w:rsidRPr="001344D1">
              <w:rPr>
                <w:i w:val="0"/>
                <w:iCs w:val="0"/>
                <w:noProof/>
                <w:webHidden/>
              </w:rPr>
            </w:r>
            <w:r w:rsidR="001344D1" w:rsidRPr="001344D1">
              <w:rPr>
                <w:i w:val="0"/>
                <w:iCs w:val="0"/>
                <w:noProof/>
                <w:webHidden/>
              </w:rPr>
              <w:fldChar w:fldCharType="separate"/>
            </w:r>
            <w:r w:rsidR="001344D1" w:rsidRPr="001344D1">
              <w:rPr>
                <w:i w:val="0"/>
                <w:iCs w:val="0"/>
                <w:noProof/>
                <w:webHidden/>
              </w:rPr>
              <w:t>3</w:t>
            </w:r>
            <w:r w:rsidR="001344D1" w:rsidRPr="001344D1">
              <w:rPr>
                <w:i w:val="0"/>
                <w:iCs w:val="0"/>
                <w:noProof/>
                <w:webHidden/>
              </w:rPr>
              <w:fldChar w:fldCharType="end"/>
            </w:r>
          </w:hyperlink>
        </w:p>
        <w:p w14:paraId="745BB1B3" w14:textId="1DBF13DC" w:rsidR="001344D1" w:rsidRPr="001344D1"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60465" w:history="1">
            <w:r w:rsidR="001344D1" w:rsidRPr="001344D1">
              <w:rPr>
                <w:rStyle w:val="Hipercze"/>
                <w:i w:val="0"/>
                <w:iCs w:val="0"/>
                <w:noProof/>
              </w:rPr>
              <w:t>Nieneuropypowość</w:t>
            </w:r>
            <w:r w:rsidR="001344D1" w:rsidRPr="001344D1">
              <w:rPr>
                <w:i w:val="0"/>
                <w:iCs w:val="0"/>
                <w:noProof/>
                <w:webHidden/>
              </w:rPr>
              <w:tab/>
            </w:r>
            <w:r w:rsidR="001344D1" w:rsidRPr="001344D1">
              <w:rPr>
                <w:i w:val="0"/>
                <w:iCs w:val="0"/>
                <w:noProof/>
                <w:webHidden/>
              </w:rPr>
              <w:fldChar w:fldCharType="begin"/>
            </w:r>
            <w:r w:rsidR="001344D1" w:rsidRPr="001344D1">
              <w:rPr>
                <w:i w:val="0"/>
                <w:iCs w:val="0"/>
                <w:noProof/>
                <w:webHidden/>
              </w:rPr>
              <w:instrText xml:space="preserve"> PAGEREF _Toc154660465 \h </w:instrText>
            </w:r>
            <w:r w:rsidR="001344D1" w:rsidRPr="001344D1">
              <w:rPr>
                <w:i w:val="0"/>
                <w:iCs w:val="0"/>
                <w:noProof/>
                <w:webHidden/>
              </w:rPr>
            </w:r>
            <w:r w:rsidR="001344D1" w:rsidRPr="001344D1">
              <w:rPr>
                <w:i w:val="0"/>
                <w:iCs w:val="0"/>
                <w:noProof/>
                <w:webHidden/>
              </w:rPr>
              <w:fldChar w:fldCharType="separate"/>
            </w:r>
            <w:r w:rsidR="001344D1" w:rsidRPr="001344D1">
              <w:rPr>
                <w:i w:val="0"/>
                <w:iCs w:val="0"/>
                <w:noProof/>
                <w:webHidden/>
              </w:rPr>
              <w:t>3</w:t>
            </w:r>
            <w:r w:rsidR="001344D1" w:rsidRPr="001344D1">
              <w:rPr>
                <w:i w:val="0"/>
                <w:iCs w:val="0"/>
                <w:noProof/>
                <w:webHidden/>
              </w:rPr>
              <w:fldChar w:fldCharType="end"/>
            </w:r>
          </w:hyperlink>
        </w:p>
        <w:p w14:paraId="7CBD1D14" w14:textId="3FCFC847" w:rsidR="001344D1" w:rsidRPr="001344D1"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60466" w:history="1">
            <w:r w:rsidR="001344D1" w:rsidRPr="001344D1">
              <w:rPr>
                <w:rStyle w:val="Hipercze"/>
                <w:i w:val="0"/>
                <w:iCs w:val="0"/>
                <w:noProof/>
              </w:rPr>
              <w:t>Nieneurotypowość w pracy</w:t>
            </w:r>
            <w:r w:rsidR="001344D1" w:rsidRPr="001344D1">
              <w:rPr>
                <w:i w:val="0"/>
                <w:iCs w:val="0"/>
                <w:noProof/>
                <w:webHidden/>
              </w:rPr>
              <w:tab/>
            </w:r>
            <w:r w:rsidR="001344D1" w:rsidRPr="001344D1">
              <w:rPr>
                <w:i w:val="0"/>
                <w:iCs w:val="0"/>
                <w:noProof/>
                <w:webHidden/>
              </w:rPr>
              <w:fldChar w:fldCharType="begin"/>
            </w:r>
            <w:r w:rsidR="001344D1" w:rsidRPr="001344D1">
              <w:rPr>
                <w:i w:val="0"/>
                <w:iCs w:val="0"/>
                <w:noProof/>
                <w:webHidden/>
              </w:rPr>
              <w:instrText xml:space="preserve"> PAGEREF _Toc154660466 \h </w:instrText>
            </w:r>
            <w:r w:rsidR="001344D1" w:rsidRPr="001344D1">
              <w:rPr>
                <w:i w:val="0"/>
                <w:iCs w:val="0"/>
                <w:noProof/>
                <w:webHidden/>
              </w:rPr>
            </w:r>
            <w:r w:rsidR="001344D1" w:rsidRPr="001344D1">
              <w:rPr>
                <w:i w:val="0"/>
                <w:iCs w:val="0"/>
                <w:noProof/>
                <w:webHidden/>
              </w:rPr>
              <w:fldChar w:fldCharType="separate"/>
            </w:r>
            <w:r w:rsidR="001344D1" w:rsidRPr="001344D1">
              <w:rPr>
                <w:i w:val="0"/>
                <w:iCs w:val="0"/>
                <w:noProof/>
                <w:webHidden/>
              </w:rPr>
              <w:t>6</w:t>
            </w:r>
            <w:r w:rsidR="001344D1" w:rsidRPr="001344D1">
              <w:rPr>
                <w:i w:val="0"/>
                <w:iCs w:val="0"/>
                <w:noProof/>
                <w:webHidden/>
              </w:rPr>
              <w:fldChar w:fldCharType="end"/>
            </w:r>
          </w:hyperlink>
        </w:p>
        <w:p w14:paraId="7E118E9C" w14:textId="4A45B695" w:rsidR="001344D1" w:rsidRPr="001344D1" w:rsidRDefault="00000000">
          <w:pPr>
            <w:pStyle w:val="Spistreci1"/>
            <w:tabs>
              <w:tab w:val="right" w:leader="dot" w:pos="8297"/>
            </w:tabs>
            <w:rPr>
              <w:rFonts w:eastAsiaTheme="minorEastAsia"/>
              <w:b w:val="0"/>
              <w:bCs w:val="0"/>
              <w:i w:val="0"/>
              <w:iCs w:val="0"/>
              <w:noProof/>
              <w:color w:val="auto"/>
              <w:kern w:val="2"/>
              <w:lang w:eastAsia="pl-PL" w:bidi="ar-SA"/>
              <w14:ligatures w14:val="standardContextual"/>
            </w:rPr>
          </w:pPr>
          <w:hyperlink w:anchor="_Toc154660467" w:history="1">
            <w:r w:rsidR="001344D1" w:rsidRPr="001344D1">
              <w:rPr>
                <w:rStyle w:val="Hipercze"/>
                <w:i w:val="0"/>
                <w:iCs w:val="0"/>
                <w:noProof/>
              </w:rPr>
              <w:t>Podsumowanie</w:t>
            </w:r>
            <w:r w:rsidR="001344D1" w:rsidRPr="001344D1">
              <w:rPr>
                <w:i w:val="0"/>
                <w:iCs w:val="0"/>
                <w:noProof/>
                <w:webHidden/>
              </w:rPr>
              <w:tab/>
            </w:r>
            <w:r w:rsidR="001344D1" w:rsidRPr="001344D1">
              <w:rPr>
                <w:i w:val="0"/>
                <w:iCs w:val="0"/>
                <w:noProof/>
                <w:webHidden/>
              </w:rPr>
              <w:fldChar w:fldCharType="begin"/>
            </w:r>
            <w:r w:rsidR="001344D1" w:rsidRPr="001344D1">
              <w:rPr>
                <w:i w:val="0"/>
                <w:iCs w:val="0"/>
                <w:noProof/>
                <w:webHidden/>
              </w:rPr>
              <w:instrText xml:space="preserve"> PAGEREF _Toc154660467 \h </w:instrText>
            </w:r>
            <w:r w:rsidR="001344D1" w:rsidRPr="001344D1">
              <w:rPr>
                <w:i w:val="0"/>
                <w:iCs w:val="0"/>
                <w:noProof/>
                <w:webHidden/>
              </w:rPr>
            </w:r>
            <w:r w:rsidR="001344D1" w:rsidRPr="001344D1">
              <w:rPr>
                <w:i w:val="0"/>
                <w:iCs w:val="0"/>
                <w:noProof/>
                <w:webHidden/>
              </w:rPr>
              <w:fldChar w:fldCharType="separate"/>
            </w:r>
            <w:r w:rsidR="001344D1" w:rsidRPr="001344D1">
              <w:rPr>
                <w:i w:val="0"/>
                <w:iCs w:val="0"/>
                <w:noProof/>
                <w:webHidden/>
              </w:rPr>
              <w:t>11</w:t>
            </w:r>
            <w:r w:rsidR="001344D1" w:rsidRPr="001344D1">
              <w:rPr>
                <w:i w:val="0"/>
                <w:iCs w:val="0"/>
                <w:noProof/>
                <w:webHidden/>
              </w:rPr>
              <w:fldChar w:fldCharType="end"/>
            </w:r>
          </w:hyperlink>
        </w:p>
        <w:p w14:paraId="0C7DADF5" w14:textId="0298EABD" w:rsidR="00AF3720" w:rsidRDefault="00AF3720">
          <w:r w:rsidRPr="000834BA">
            <w:rPr>
              <w:b/>
              <w:bCs/>
              <w:noProof/>
              <w:sz w:val="28"/>
              <w:szCs w:val="28"/>
            </w:rPr>
            <w:fldChar w:fldCharType="end"/>
          </w:r>
        </w:p>
      </w:sdtContent>
    </w:sdt>
    <w:p w14:paraId="68FB68C2" w14:textId="43F9CD04" w:rsidR="00AF3720" w:rsidRDefault="00AF3720">
      <w:pPr>
        <w:rPr>
          <w:rFonts w:asciiTheme="majorHAnsi" w:eastAsiaTheme="majorEastAsia" w:hAnsiTheme="majorHAnsi" w:cstheme="majorBidi"/>
          <w:b/>
          <w:caps/>
          <w:color w:val="2A2A2A" w:themeColor="text2"/>
          <w:sz w:val="56"/>
          <w:szCs w:val="56"/>
        </w:rPr>
      </w:pPr>
    </w:p>
    <w:p w14:paraId="0319BA42" w14:textId="2FF743DF" w:rsidR="0003415A" w:rsidRPr="0003415A" w:rsidRDefault="008B27C2" w:rsidP="0003415A">
      <w:pPr>
        <w:rPr>
          <w:rFonts w:asciiTheme="majorHAnsi" w:eastAsiaTheme="majorEastAsia" w:hAnsiTheme="majorHAnsi" w:cstheme="majorBidi"/>
          <w:b/>
          <w:caps/>
          <w:color w:val="2A2A2A" w:themeColor="text2"/>
          <w:sz w:val="56"/>
          <w:szCs w:val="56"/>
        </w:rPr>
      </w:pPr>
      <w:r>
        <w:rPr>
          <w:sz w:val="56"/>
          <w:szCs w:val="56"/>
        </w:rPr>
        <w:br w:type="page"/>
      </w:r>
      <w:bookmarkStart w:id="1" w:name="OLE_LINK1"/>
      <w:bookmarkStart w:id="2" w:name="OLE_LINK2"/>
      <w:bookmarkEnd w:id="0"/>
    </w:p>
    <w:p w14:paraId="35749E6E" w14:textId="1BE02766" w:rsidR="0003415A" w:rsidRPr="0003415A" w:rsidRDefault="0003415A" w:rsidP="0003415A">
      <w:pPr>
        <w:pStyle w:val="Nagwek1"/>
        <w:spacing w:before="600" w:after="800"/>
        <w:rPr>
          <w:sz w:val="52"/>
          <w:szCs w:val="52"/>
        </w:rPr>
      </w:pPr>
      <w:bookmarkStart w:id="3" w:name="_Toc154660464"/>
      <w:r w:rsidRPr="0003415A">
        <w:rPr>
          <w:sz w:val="52"/>
          <w:szCs w:val="52"/>
        </w:rPr>
        <w:lastRenderedPageBreak/>
        <w:t>Wprowadzenie</w:t>
      </w:r>
      <w:bookmarkEnd w:id="3"/>
    </w:p>
    <w:p w14:paraId="7E4DEF50" w14:textId="63F12711" w:rsidR="0003415A" w:rsidRDefault="0003415A" w:rsidP="0003415A">
      <w:r>
        <w:t xml:space="preserve">Ogólnie za osoby nieneurotypowe uznaje się ludzi, którzy wykazują różnice w neurologii mogące odbiegać od powszechnie uznanych jako "typowe" lub "standardowe". Termin ten często stosuje się w odniesieniu do osób z różnymi formami funkcjonowania mózgu i percepcji, takimi jak autyzm, zespół Aspergera, ADHD (zaburzenie deficytu uwagi i </w:t>
      </w:r>
      <w:proofErr w:type="spellStart"/>
      <w:r>
        <w:t>hiperaktywności</w:t>
      </w:r>
      <w:proofErr w:type="spellEnd"/>
      <w:r>
        <w:t>), dysleksja, oraz inne. Należy podkreślić, że nieneurotypowość nie jest zaburzeniem ani defektem; jest raczej odmiennym sposobem przetwarzania informacji i doświadczania świata. Chociaż, tak jak z wieloma zaburzeniami, poważna ich forma może być problematyczna i utrudniać codzienne funkcjonowanie.</w:t>
      </w:r>
    </w:p>
    <w:p w14:paraId="6D66F7F8" w14:textId="1BC2CEDC" w:rsidR="006C133E" w:rsidRDefault="0003415A" w:rsidP="0003415A">
      <w:r>
        <w:t xml:space="preserve">Osoby nieneurotypowe mogą mieć wyjątkowe zdolności i perspektywy, ale również mogą napotykać na specyficzne wyzwania w życiu codziennym, zwłaszcza w środowiskach zdominowanych przez </w:t>
      </w:r>
      <w:proofErr w:type="spellStart"/>
      <w:r>
        <w:t>neurotypowe</w:t>
      </w:r>
      <w:proofErr w:type="spellEnd"/>
      <w:r>
        <w:t xml:space="preserve"> normy i oczekiwania. Ważne jest, aby społeczeństwo było świadome i wrażliwe na te różnice, aby promować większą inkluzję i zrozumienie.</w:t>
      </w:r>
    </w:p>
    <w:p w14:paraId="532255B6" w14:textId="22CF89BA" w:rsidR="006C133E" w:rsidRPr="006C133E" w:rsidRDefault="00B7337D" w:rsidP="006C133E">
      <w:pPr>
        <w:pStyle w:val="Nagwek1"/>
        <w:spacing w:before="600" w:after="800"/>
        <w:rPr>
          <w:sz w:val="52"/>
          <w:szCs w:val="52"/>
        </w:rPr>
      </w:pPr>
      <w:bookmarkStart w:id="4" w:name="_Toc154660465"/>
      <w:r>
        <w:rPr>
          <w:sz w:val="52"/>
          <w:szCs w:val="52"/>
        </w:rPr>
        <w:t>Nieneuropypowość</w:t>
      </w:r>
      <w:bookmarkEnd w:id="4"/>
      <w:r w:rsidR="006C133E" w:rsidRPr="006C133E">
        <w:rPr>
          <w:sz w:val="52"/>
          <w:szCs w:val="52"/>
        </w:rPr>
        <w:t xml:space="preserve"> </w:t>
      </w:r>
    </w:p>
    <w:bookmarkEnd w:id="1"/>
    <w:bookmarkEnd w:id="2"/>
    <w:p w14:paraId="0FE15041" w14:textId="68F81F30" w:rsidR="002D4712" w:rsidRDefault="002D4712" w:rsidP="002D4712">
      <w:r>
        <w:t xml:space="preserve">W zasadzie bardzo trudno jest oszacować jaka część populacji może posiadać cechy nieneurotypowe. Przynajmniej z kilku powodów. Po pierwsze, neurozróżnicowanie obejmuje szeroki zakres warunków, takich jak zaburzenia ze spektrum autyzmu, ADHD, dysleksja, </w:t>
      </w:r>
      <w:proofErr w:type="spellStart"/>
      <w:r>
        <w:t>dyspraksja</w:t>
      </w:r>
      <w:proofErr w:type="spellEnd"/>
      <w:r>
        <w:t xml:space="preserve"> i wiele innych (patrz rysunek poniżej). Każdy z tych stanów ma własny zbiór kryteriów diagnostycznych, co utrudnia ujednolicenie metod szacowania.</w:t>
      </w:r>
    </w:p>
    <w:p w14:paraId="51D07BB2" w14:textId="77777777" w:rsidR="002D4712" w:rsidRDefault="002D4712" w:rsidP="002D4712"/>
    <w:p w14:paraId="56F5AF35" w14:textId="77777777" w:rsidR="00995B30" w:rsidRDefault="00995B30" w:rsidP="000A6A69"/>
    <w:p w14:paraId="43D379A1" w14:textId="77777777" w:rsidR="00995B30" w:rsidRDefault="00995B30" w:rsidP="000A6A69"/>
    <w:p w14:paraId="1D7BF5C2" w14:textId="102D4250" w:rsidR="00995B30" w:rsidRDefault="00995B30" w:rsidP="000A6A69">
      <w:r>
        <w:fldChar w:fldCharType="begin"/>
      </w:r>
      <w:r>
        <w:instrText xml:space="preserve"> INCLUDEPICTURE "/Users/marcinkocor/Library/Group Containers/UBF8T346G9.ms/WebArchiveCopyPasteTempFiles/com.microsoft.Word/Artboard-1%400_no-legend.jpg?h=9fbfdb43&amp;itok=5HXtql4M" \* MERGEFORMATINET </w:instrText>
      </w:r>
      <w:r>
        <w:fldChar w:fldCharType="separate"/>
      </w:r>
      <w:r>
        <w:rPr>
          <w:noProof/>
        </w:rPr>
        <w:drawing>
          <wp:inline distT="0" distB="0" distL="0" distR="0" wp14:anchorId="60119CA8" wp14:editId="0450DCA6">
            <wp:extent cx="5274945" cy="4542155"/>
            <wp:effectExtent l="0" t="0" r="0" b="4445"/>
            <wp:docPr id="1003380685" name="Obraz 2" descr="Obrazek przedstawia sylwetkę głowy człowieka z profilu, z której wychodzi wiele połączonych okręgów, tworzących wzór przypominający diagram Venn'a. Każdy okrąg reprezentuje różne schorzenia lub cechy związane z neurozróżnicowaniem, takie jak Dysleksja, Zespół Aspergera, ADHD czy Dyspraksja. W miejscach, gdzie okręgi się nakładają, znajdują się słowa opisujące wspólne cechy lub zdolności, takie jak kreatywność, empatia czy uwaga do szczegółów. Cały wzór przedstawia złożoność i różnorodność doświadczeń ludzi z neurozróżnicowan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80685" name="Obraz 2" descr="Obrazek przedstawia sylwetkę głowy człowieka z profilu, z której wychodzi wiele połączonych okręgów, tworzących wzór przypominający diagram Venn'a. Każdy okrąg reprezentuje różne schorzenia lub cechy związane z neurozróżnicowaniem, takie jak Dysleksja, Zespół Aspergera, ADHD czy Dyspraksja. W miejscach, gdzie okręgi się nakładają, znajdują się słowa opisujące wspólne cechy lub zdolności, takie jak kreatywność, empatia czy uwaga do szczegółów. Cały wzór przedstawia złożoność i różnorodność doświadczeń ludzi z neurozróżnicowani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4542155"/>
                    </a:xfrm>
                    <a:prstGeom prst="rect">
                      <a:avLst/>
                    </a:prstGeom>
                    <a:noFill/>
                    <a:ln>
                      <a:noFill/>
                    </a:ln>
                  </pic:spPr>
                </pic:pic>
              </a:graphicData>
            </a:graphic>
          </wp:inline>
        </w:drawing>
      </w:r>
      <w:r>
        <w:fldChar w:fldCharType="end"/>
      </w:r>
    </w:p>
    <w:p w14:paraId="342C60CC" w14:textId="393602B3" w:rsidR="002D4712" w:rsidRPr="002D4712" w:rsidRDefault="002D4712" w:rsidP="000A6A69">
      <w:pPr>
        <w:rPr>
          <w:color w:val="C00000"/>
          <w:lang w:val="en-US"/>
        </w:rPr>
      </w:pPr>
      <w:proofErr w:type="spellStart"/>
      <w:r w:rsidRPr="002D4712">
        <w:rPr>
          <w:lang w:val="en-US"/>
        </w:rPr>
        <w:t>Źródło</w:t>
      </w:r>
      <w:proofErr w:type="spellEnd"/>
      <w:r w:rsidRPr="002D4712">
        <w:rPr>
          <w:lang w:val="en-US"/>
        </w:rPr>
        <w:t xml:space="preserve">: National Cancer Institute, </w:t>
      </w:r>
      <w:hyperlink r:id="rId14" w:history="1">
        <w:r w:rsidRPr="002D4712">
          <w:rPr>
            <w:rStyle w:val="Hipercze"/>
            <w:color w:val="C00000"/>
            <w:lang w:val="en-US"/>
          </w:rPr>
          <w:t>https://dceg.cancer.gov/about/diversity-inclusion/inclusivity-minute/2022/neurodiversity</w:t>
        </w:r>
      </w:hyperlink>
    </w:p>
    <w:p w14:paraId="79C7F945" w14:textId="77777777" w:rsidR="002D4712" w:rsidRPr="002D4712" w:rsidRDefault="002D4712" w:rsidP="000A6A69">
      <w:pPr>
        <w:rPr>
          <w:lang w:val="en-US"/>
        </w:rPr>
      </w:pPr>
    </w:p>
    <w:p w14:paraId="138B88A4" w14:textId="77777777" w:rsidR="00BE0F14" w:rsidRDefault="002D4712" w:rsidP="002D4712">
      <w:r>
        <w:t xml:space="preserve">Po drugie, w miarę jak rozumienie </w:t>
      </w:r>
      <w:proofErr w:type="spellStart"/>
      <w:r>
        <w:t>neurozróżnicowania</w:t>
      </w:r>
      <w:proofErr w:type="spellEnd"/>
      <w:r>
        <w:t xml:space="preserve"> się rozwija, zmieniają się również kryteria diagnostyczne. Na przykład, kryteria DSM (</w:t>
      </w:r>
      <w:proofErr w:type="spellStart"/>
      <w:r>
        <w:t>Diagnostic</w:t>
      </w:r>
      <w:proofErr w:type="spellEnd"/>
      <w:r>
        <w:t xml:space="preserve"> and Statistical Manual of </w:t>
      </w:r>
      <w:proofErr w:type="spellStart"/>
      <w:r>
        <w:t>Mental</w:t>
      </w:r>
      <w:proofErr w:type="spellEnd"/>
      <w:r>
        <w:t xml:space="preserve"> </w:t>
      </w:r>
      <w:proofErr w:type="spellStart"/>
      <w:r>
        <w:t>Disorders</w:t>
      </w:r>
      <w:proofErr w:type="spellEnd"/>
      <w:r>
        <w:t>) dla zaburzeń ze spektrum autyzmu ewoluowały z czasem, co wpływa na liczbę diagnoz.</w:t>
      </w:r>
      <w:r w:rsidR="00EC10E2">
        <w:t xml:space="preserve"> </w:t>
      </w:r>
    </w:p>
    <w:p w14:paraId="641EAE65" w14:textId="30E6710B" w:rsidR="002D4712" w:rsidRDefault="00EC10E2" w:rsidP="002D4712">
      <w:r>
        <w:t>Po trzecie, w</w:t>
      </w:r>
      <w:r w:rsidR="002D4712">
        <w:t>iele osób może mieć cechy nieneurotypowe, ale nigdy nie zostały one zidentyfikowane lub zdiagnozowane ze względu na brak świadomości społecznej lub zrozumienia, zarówno wśród laików, jak i profesjonalistów.</w:t>
      </w:r>
    </w:p>
    <w:p w14:paraId="08154843" w14:textId="77777777" w:rsidR="002D4712" w:rsidRDefault="002D4712" w:rsidP="002D4712"/>
    <w:p w14:paraId="2C6F61F7" w14:textId="21918319" w:rsidR="00BE0F14" w:rsidRDefault="00BE0F14" w:rsidP="002D4712">
      <w:r>
        <w:t xml:space="preserve">Po czwarte, istnieje pewien stopień normalnej zmienności w zachowaniach i umiejętnościach ludzi. Cechy takie jak introwertyzm, </w:t>
      </w:r>
      <w:proofErr w:type="spellStart"/>
      <w:r>
        <w:t>hiperfokalizacja</w:t>
      </w:r>
      <w:proofErr w:type="spellEnd"/>
      <w:r>
        <w:t xml:space="preserve"> czy wrażliwość sensoryczna mogą być rozpatrywane jako warianty normalne, a niekoniecznie jako wyznaczniki nieneurotypowości.</w:t>
      </w:r>
    </w:p>
    <w:p w14:paraId="509C530F" w14:textId="1CA626D6" w:rsidR="002D4712" w:rsidRDefault="00BE0F14" w:rsidP="002D4712">
      <w:r>
        <w:t>Po piąte, istnieje z jednej strony</w:t>
      </w:r>
      <w:r w:rsidR="002D4712">
        <w:t xml:space="preserve"> </w:t>
      </w:r>
      <w:r>
        <w:t>o</w:t>
      </w:r>
      <w:r w:rsidR="002D4712">
        <w:t>bawa przed stygmatyzacją może powstrzymywać ludzi przed szukaniem pomocy i diagnozy. Niektórzy mogą obawiać się etykietowania lub dyskryminacji w</w:t>
      </w:r>
      <w:r>
        <w:t> </w:t>
      </w:r>
      <w:r w:rsidR="002D4712">
        <w:t>pracy, szkole czy w życiu społecznym.</w:t>
      </w:r>
      <w:r>
        <w:t xml:space="preserve"> A z drugiej strony, w niektórych przypadkach osoby mogą samodzielnie identyfikować się jako nieneurotypowe, nawet jeśli nie przeszły formalnego procesu diagnostycznego.</w:t>
      </w:r>
    </w:p>
    <w:p w14:paraId="4A67D961" w14:textId="6FB75DBF" w:rsidR="002D4712" w:rsidRDefault="002D4712" w:rsidP="002D4712">
      <w:r>
        <w:t>Z powodu tych i innych czynników, oszacowanie dokładnej liczby osób nieneurotypowych jest wyzwaniem i może się zmieniać w</w:t>
      </w:r>
      <w:r w:rsidR="00BE0F14">
        <w:t> </w:t>
      </w:r>
      <w:r>
        <w:t>miarę ewolucji naszej wiedzy i postaw społecznych.</w:t>
      </w:r>
    </w:p>
    <w:p w14:paraId="67352229" w14:textId="58B9F576" w:rsidR="00BE0F14" w:rsidRDefault="00BE0F14" w:rsidP="002D4712">
      <w:r>
        <w:t>Tym niemniej, na podstawie dostępnych badań</w:t>
      </w:r>
      <w:r w:rsidR="000E18E0">
        <w:t xml:space="preserve"> szacuje się, że nawet 10% do 15%</w:t>
      </w:r>
      <w:r w:rsidR="000E18E0" w:rsidRPr="000E18E0">
        <w:t xml:space="preserve"> populacji</w:t>
      </w:r>
      <w:r w:rsidR="000E18E0">
        <w:t xml:space="preserve"> </w:t>
      </w:r>
      <w:r w:rsidR="000E18E0" w:rsidRPr="000E18E0">
        <w:t xml:space="preserve">może posiadać cechy nieneurotypowe. Zaburzenia takie jak spektrum autyzmu, ADHD i dysleksja mają różne wskaźniki występowania, ale szacuje się, że łącznie mogą one dotyczyć znaczącej mniejszości populacji. Na przykład, globalna </w:t>
      </w:r>
      <w:r w:rsidR="005C52F6">
        <w:t>rozpowszechnienie</w:t>
      </w:r>
      <w:r w:rsidR="000E18E0" w:rsidRPr="000E18E0">
        <w:t xml:space="preserve"> autyzmu szacowan</w:t>
      </w:r>
      <w:r w:rsidR="005C52F6">
        <w:t>e</w:t>
      </w:r>
      <w:r w:rsidR="000E18E0" w:rsidRPr="000E18E0">
        <w:t xml:space="preserve"> jest na około 1%, ADHD na około 5-7% wśród dzieci, a dysleksja może dotyczyć około 10% populacji. Te liczby mogą się sumować, ale należy pamiętać, że osoby mogą mieć więcej niż jedno takie zaburzenie. Z tego powodu, bez dokładnych badań epidemiologicznych i statystycznych, trudno jest podać jednoznaczny procent ludzi z cechami nieneurotypowymi.</w:t>
      </w:r>
    </w:p>
    <w:p w14:paraId="678C2583" w14:textId="3B5BB2A7" w:rsidR="005C52F6" w:rsidRDefault="005C52F6" w:rsidP="005C52F6">
      <w:r>
        <w:t>Jakie formy zaburzeń zalicza się do grupy określanej jako nieneurotypowość? Na podstawie obecnego stanu wiedzy najczęściej jako takie cechy uznaje się te związane z:</w:t>
      </w:r>
    </w:p>
    <w:p w14:paraId="0687F905" w14:textId="77777777" w:rsidR="005C52F6" w:rsidRPr="005C52F6" w:rsidRDefault="005C52F6" w:rsidP="005C52F6">
      <w:pPr>
        <w:pStyle w:val="Akapitzlist"/>
        <w:numPr>
          <w:ilvl w:val="0"/>
          <w:numId w:val="27"/>
        </w:numPr>
        <w:ind w:left="709"/>
        <w:rPr>
          <w:i w:val="0"/>
          <w:iCs/>
        </w:rPr>
      </w:pPr>
      <w:r w:rsidRPr="005C52F6">
        <w:rPr>
          <w:i w:val="0"/>
          <w:iCs/>
        </w:rPr>
        <w:t>spektrum autyzmu (ASD),</w:t>
      </w:r>
    </w:p>
    <w:p w14:paraId="2968F3E8" w14:textId="77777777" w:rsidR="005C52F6" w:rsidRPr="005C52F6" w:rsidRDefault="005C52F6" w:rsidP="005C52F6">
      <w:pPr>
        <w:pStyle w:val="Akapitzlist"/>
        <w:numPr>
          <w:ilvl w:val="0"/>
          <w:numId w:val="27"/>
        </w:numPr>
        <w:ind w:left="709"/>
        <w:rPr>
          <w:i w:val="0"/>
          <w:iCs/>
        </w:rPr>
      </w:pPr>
      <w:r w:rsidRPr="005C52F6">
        <w:rPr>
          <w:i w:val="0"/>
          <w:iCs/>
        </w:rPr>
        <w:t>spektrum ADHD (zespół nadpobudliwości psychoruchowej z deficytem uwagi),</w:t>
      </w:r>
    </w:p>
    <w:p w14:paraId="3A61E2E0" w14:textId="3365E512" w:rsidR="005C52F6" w:rsidRPr="005C52F6" w:rsidRDefault="005C52F6" w:rsidP="005C52F6">
      <w:pPr>
        <w:pStyle w:val="Akapitzlist"/>
        <w:numPr>
          <w:ilvl w:val="0"/>
          <w:numId w:val="27"/>
        </w:numPr>
        <w:ind w:left="709"/>
        <w:rPr>
          <w:i w:val="0"/>
          <w:iCs/>
        </w:rPr>
      </w:pPr>
      <w:r w:rsidRPr="005C52F6">
        <w:rPr>
          <w:i w:val="0"/>
          <w:iCs/>
        </w:rPr>
        <w:lastRenderedPageBreak/>
        <w:t>dysleksj</w:t>
      </w:r>
      <w:r>
        <w:rPr>
          <w:i w:val="0"/>
          <w:iCs/>
        </w:rPr>
        <w:t>ą</w:t>
      </w:r>
      <w:r w:rsidRPr="005C52F6">
        <w:rPr>
          <w:i w:val="0"/>
          <w:iCs/>
        </w:rPr>
        <w:t>,</w:t>
      </w:r>
    </w:p>
    <w:p w14:paraId="58496BD0" w14:textId="2D984F8D" w:rsidR="005C52F6" w:rsidRDefault="005C52F6" w:rsidP="005C52F6">
      <w:pPr>
        <w:pStyle w:val="Akapitzlist"/>
        <w:numPr>
          <w:ilvl w:val="0"/>
          <w:numId w:val="27"/>
        </w:numPr>
        <w:ind w:left="709"/>
        <w:rPr>
          <w:i w:val="0"/>
          <w:iCs/>
        </w:rPr>
      </w:pPr>
      <w:r w:rsidRPr="005C52F6">
        <w:rPr>
          <w:i w:val="0"/>
          <w:iCs/>
        </w:rPr>
        <w:t>dysgrafi</w:t>
      </w:r>
      <w:r>
        <w:rPr>
          <w:i w:val="0"/>
          <w:iCs/>
        </w:rPr>
        <w:t>ą</w:t>
      </w:r>
      <w:r w:rsidRPr="005C52F6">
        <w:rPr>
          <w:i w:val="0"/>
          <w:iCs/>
        </w:rPr>
        <w:t>,</w:t>
      </w:r>
    </w:p>
    <w:p w14:paraId="5A284DCC" w14:textId="7C21D1C4" w:rsidR="005C52F6" w:rsidRPr="005C52F6" w:rsidRDefault="005C52F6" w:rsidP="005C52F6">
      <w:pPr>
        <w:pStyle w:val="Akapitzlist"/>
        <w:numPr>
          <w:ilvl w:val="0"/>
          <w:numId w:val="27"/>
        </w:numPr>
        <w:ind w:left="709"/>
        <w:rPr>
          <w:i w:val="0"/>
          <w:iCs/>
        </w:rPr>
      </w:pPr>
      <w:proofErr w:type="spellStart"/>
      <w:r>
        <w:rPr>
          <w:i w:val="0"/>
          <w:iCs/>
        </w:rPr>
        <w:t>dyspraksją</w:t>
      </w:r>
      <w:proofErr w:type="spellEnd"/>
      <w:r>
        <w:rPr>
          <w:i w:val="0"/>
          <w:iCs/>
        </w:rPr>
        <w:t>,</w:t>
      </w:r>
    </w:p>
    <w:p w14:paraId="13B9EC7F" w14:textId="2F98843F" w:rsidR="005C52F6" w:rsidRDefault="005C52F6" w:rsidP="005C52F6">
      <w:pPr>
        <w:pStyle w:val="Akapitzlist"/>
        <w:numPr>
          <w:ilvl w:val="0"/>
          <w:numId w:val="27"/>
        </w:numPr>
        <w:ind w:left="709"/>
        <w:rPr>
          <w:i w:val="0"/>
          <w:iCs/>
        </w:rPr>
      </w:pPr>
      <w:r w:rsidRPr="005C52F6">
        <w:rPr>
          <w:i w:val="0"/>
          <w:iCs/>
        </w:rPr>
        <w:t>dyskalkuli</w:t>
      </w:r>
      <w:r>
        <w:rPr>
          <w:i w:val="0"/>
          <w:iCs/>
        </w:rPr>
        <w:t>ą</w:t>
      </w:r>
      <w:r w:rsidRPr="005C52F6">
        <w:rPr>
          <w:i w:val="0"/>
          <w:iCs/>
        </w:rPr>
        <w:t>,</w:t>
      </w:r>
    </w:p>
    <w:p w14:paraId="20A30176" w14:textId="5A670973" w:rsidR="005C52F6" w:rsidRPr="005C52F6" w:rsidRDefault="005C52F6" w:rsidP="005C52F6">
      <w:pPr>
        <w:pStyle w:val="Akapitzlist"/>
        <w:numPr>
          <w:ilvl w:val="0"/>
          <w:numId w:val="27"/>
        </w:numPr>
        <w:ind w:left="709"/>
        <w:rPr>
          <w:i w:val="0"/>
          <w:iCs/>
        </w:rPr>
      </w:pPr>
      <w:r>
        <w:rPr>
          <w:i w:val="0"/>
          <w:iCs/>
        </w:rPr>
        <w:t xml:space="preserve">syndromem </w:t>
      </w:r>
      <w:proofErr w:type="spellStart"/>
      <w:r>
        <w:rPr>
          <w:i w:val="0"/>
          <w:iCs/>
        </w:rPr>
        <w:t>Tourette’a</w:t>
      </w:r>
      <w:proofErr w:type="spellEnd"/>
      <w:r>
        <w:rPr>
          <w:i w:val="0"/>
          <w:iCs/>
        </w:rPr>
        <w:t>,</w:t>
      </w:r>
    </w:p>
    <w:p w14:paraId="5EB2871F" w14:textId="33DE8241" w:rsidR="005C52F6" w:rsidRPr="005C52F6" w:rsidRDefault="005C52F6" w:rsidP="005C52F6">
      <w:pPr>
        <w:pStyle w:val="Akapitzlist"/>
        <w:numPr>
          <w:ilvl w:val="0"/>
          <w:numId w:val="27"/>
        </w:numPr>
        <w:ind w:left="709"/>
        <w:rPr>
          <w:i w:val="0"/>
          <w:iCs/>
        </w:rPr>
      </w:pPr>
      <w:r w:rsidRPr="005C52F6">
        <w:rPr>
          <w:i w:val="0"/>
          <w:iCs/>
        </w:rPr>
        <w:t>zaburze</w:t>
      </w:r>
      <w:r>
        <w:rPr>
          <w:i w:val="0"/>
          <w:iCs/>
        </w:rPr>
        <w:t>niami</w:t>
      </w:r>
      <w:r w:rsidRPr="005C52F6">
        <w:rPr>
          <w:i w:val="0"/>
          <w:iCs/>
        </w:rPr>
        <w:t xml:space="preserve"> obsesyjno-kompulsywnych (OCD),</w:t>
      </w:r>
    </w:p>
    <w:p w14:paraId="67FC471D" w14:textId="6E9FF48D" w:rsidR="005C52F6" w:rsidRPr="005C52F6" w:rsidRDefault="005C52F6" w:rsidP="005C52F6">
      <w:pPr>
        <w:pStyle w:val="Akapitzlist"/>
        <w:numPr>
          <w:ilvl w:val="0"/>
          <w:numId w:val="27"/>
        </w:numPr>
        <w:ind w:left="709"/>
        <w:rPr>
          <w:i w:val="0"/>
          <w:iCs/>
        </w:rPr>
      </w:pPr>
      <w:r w:rsidRPr="005C52F6">
        <w:rPr>
          <w:i w:val="0"/>
          <w:iCs/>
        </w:rPr>
        <w:t>zaburzenia</w:t>
      </w:r>
      <w:r>
        <w:rPr>
          <w:i w:val="0"/>
          <w:iCs/>
        </w:rPr>
        <w:t>mi</w:t>
      </w:r>
      <w:r w:rsidRPr="005C52F6">
        <w:rPr>
          <w:i w:val="0"/>
          <w:iCs/>
        </w:rPr>
        <w:t xml:space="preserve"> afektywn</w:t>
      </w:r>
      <w:r>
        <w:rPr>
          <w:i w:val="0"/>
          <w:iCs/>
        </w:rPr>
        <w:t>ymi</w:t>
      </w:r>
      <w:r w:rsidRPr="005C52F6">
        <w:rPr>
          <w:i w:val="0"/>
          <w:iCs/>
        </w:rPr>
        <w:t xml:space="preserve"> dwubiegunow</w:t>
      </w:r>
      <w:r>
        <w:rPr>
          <w:i w:val="0"/>
          <w:iCs/>
        </w:rPr>
        <w:t>ymi</w:t>
      </w:r>
      <w:r w:rsidRPr="005C52F6">
        <w:rPr>
          <w:i w:val="0"/>
          <w:iCs/>
        </w:rPr>
        <w:t xml:space="preserve"> (</w:t>
      </w:r>
      <w:proofErr w:type="spellStart"/>
      <w:r w:rsidRPr="005C52F6">
        <w:rPr>
          <w:i w:val="0"/>
          <w:iCs/>
        </w:rPr>
        <w:t>ChAD</w:t>
      </w:r>
      <w:proofErr w:type="spellEnd"/>
      <w:r w:rsidRPr="005C52F6">
        <w:rPr>
          <w:i w:val="0"/>
          <w:iCs/>
        </w:rPr>
        <w:t>).</w:t>
      </w:r>
    </w:p>
    <w:p w14:paraId="0D0B3B27" w14:textId="77777777" w:rsidR="002D4712" w:rsidRDefault="002D4712" w:rsidP="002D4712"/>
    <w:p w14:paraId="4268BF4A" w14:textId="5AD0A001" w:rsidR="002D4712" w:rsidRDefault="005C52F6" w:rsidP="005C52F6">
      <w:pPr>
        <w:pStyle w:val="Nagwek1"/>
        <w:spacing w:before="600" w:after="800"/>
        <w:rPr>
          <w:sz w:val="52"/>
          <w:szCs w:val="52"/>
        </w:rPr>
      </w:pPr>
      <w:bookmarkStart w:id="5" w:name="_Toc154660466"/>
      <w:r w:rsidRPr="005C52F6">
        <w:rPr>
          <w:sz w:val="52"/>
          <w:szCs w:val="52"/>
        </w:rPr>
        <w:t>Nieneurotypowość w</w:t>
      </w:r>
      <w:r w:rsidR="00EF7EB0">
        <w:rPr>
          <w:sz w:val="52"/>
          <w:szCs w:val="52"/>
        </w:rPr>
        <w:t> </w:t>
      </w:r>
      <w:r w:rsidRPr="005C52F6">
        <w:rPr>
          <w:sz w:val="52"/>
          <w:szCs w:val="52"/>
        </w:rPr>
        <w:t>pracy</w:t>
      </w:r>
      <w:bookmarkEnd w:id="5"/>
    </w:p>
    <w:p w14:paraId="133C1C80" w14:textId="0EAC5146" w:rsidR="005B455C" w:rsidRDefault="005B455C" w:rsidP="005C52F6">
      <w:r>
        <w:t>Posiadanie cech nieneurotypowych może stanowić źródło utrudnień w codziennym życiu właściwie już od wczesnych lat. Dlatego problemy osób nieneurotypowych zaczynają się już na poziomie edukacji szkolnej. To zagadnienie stanowić może przedmiot zupełnie innego omówienia, tutaj natomiast omówimy kwestie związane z wchodzeniem takich osób na rynek pracy. Wchodzeniem, gdyż pierwszą barierą dla takich osób w znalezieniu pracy jest etap rekrutacji, na którym pewne cechy związane z nieneurotypowością mogą stanowić istotne bariery w zdobyciu pracy.</w:t>
      </w:r>
    </w:p>
    <w:p w14:paraId="0BBF9AD0" w14:textId="7B3B4864" w:rsidR="005C52F6" w:rsidRDefault="002321D9" w:rsidP="005C52F6">
      <w:r>
        <w:t>Dlatego biorąc pod uwagę proces rekrutacji warto pod uwagę wziąć następujące zalecenia w przypadku osób nieneurotypowych:</w:t>
      </w:r>
    </w:p>
    <w:p w14:paraId="20503FEF" w14:textId="77777777" w:rsidR="00182D68" w:rsidRDefault="00182D68" w:rsidP="005C52F6"/>
    <w:p w14:paraId="3BA9FD2C" w14:textId="3D0652DD" w:rsidR="002321D9" w:rsidRPr="002321D9" w:rsidRDefault="002321D9" w:rsidP="002321D9">
      <w:pPr>
        <w:rPr>
          <w:b/>
          <w:bCs/>
          <w:color w:val="C00000"/>
        </w:rPr>
      </w:pPr>
      <w:r w:rsidRPr="002321D9">
        <w:rPr>
          <w:b/>
          <w:bCs/>
          <w:color w:val="C00000"/>
        </w:rPr>
        <w:t>Dostosowanie komunikacji</w:t>
      </w:r>
    </w:p>
    <w:p w14:paraId="72C5543F" w14:textId="5D239DBE" w:rsidR="002321D9" w:rsidRDefault="002321D9" w:rsidP="002321D9">
      <w:r>
        <w:t>Należy używać jasnego i bezpośredniego języka w ogłoszeniach o pracę oraz w trakcie całego procesu rekrutacji. Unikać przy tym dwuznaczności i złożonych metafor, które mogą być mylące. Warto pamiętać o zadawaniu konkretnych pytania, które pozwalają kandydatom na jasne wyrażenie swoich umiejętności i doświadczenia.</w:t>
      </w:r>
      <w:r w:rsidR="008400C8">
        <w:t xml:space="preserve"> Ogłoszenia o pracę powinny być jasne, zwięzłe </w:t>
      </w:r>
      <w:r w:rsidR="008400C8">
        <w:lastRenderedPageBreak/>
        <w:t xml:space="preserve">i pozbawione żargonu, aby zwiększyć prawdopodobieństwo aplikacji osób z </w:t>
      </w:r>
      <w:proofErr w:type="spellStart"/>
      <w:r w:rsidR="008400C8">
        <w:t>neurodywergencją</w:t>
      </w:r>
      <w:proofErr w:type="spellEnd"/>
      <w:r w:rsidR="008400C8">
        <w:t xml:space="preserve">. Rozważyć warto usunięcie standardowych zwrotów z opisów stanowisk, takich jak "doskonałe umiejętności komunikacyjne", które mogą sprawić, że tacy kandydaci poczują się nieodpowiedni dla danej pozycji. Dobrym pomysłem jest również zawarcie oświadczenia, że kandydaci </w:t>
      </w:r>
      <w:proofErr w:type="spellStart"/>
      <w:r w:rsidR="008400C8">
        <w:t>neurozróżnicowani</w:t>
      </w:r>
      <w:proofErr w:type="spellEnd"/>
      <w:r w:rsidR="008400C8">
        <w:t xml:space="preserve"> są mile widziani i że organizacja jest gotowa wprowadzić dla nich odpowiednie dostosowania.</w:t>
      </w:r>
    </w:p>
    <w:p w14:paraId="2E8EBD55" w14:textId="77777777" w:rsidR="002321D9" w:rsidRDefault="002321D9" w:rsidP="002321D9"/>
    <w:p w14:paraId="6EC565AF" w14:textId="77777777" w:rsidR="002321D9" w:rsidRPr="00182D68" w:rsidRDefault="002321D9" w:rsidP="002321D9">
      <w:pPr>
        <w:rPr>
          <w:b/>
          <w:bCs/>
          <w:color w:val="C00000"/>
        </w:rPr>
      </w:pPr>
      <w:r w:rsidRPr="00182D68">
        <w:rPr>
          <w:b/>
          <w:bCs/>
          <w:color w:val="C00000"/>
        </w:rPr>
        <w:t xml:space="preserve">Elastyczność </w:t>
      </w:r>
    </w:p>
    <w:p w14:paraId="350230BC" w14:textId="0A30487F" w:rsidR="002321D9" w:rsidRDefault="002321D9" w:rsidP="002321D9">
      <w:r>
        <w:t>Warto dostosować proces rekrutacyjny, aby uwzględnić różne style komunikacji i uczenia się. Na przykład, niektóre osoby mogą lepiej radzić sobie z testami praktycznymi niż z rozmowami kwalifikacyjnymi. Trzeba też być otwartym na różne sposoby myślenia i rozwiązywania problemów, a także na sugestie i potrzeby kandydatów.</w:t>
      </w:r>
    </w:p>
    <w:p w14:paraId="30146162" w14:textId="77777777" w:rsidR="002321D9" w:rsidRDefault="002321D9" w:rsidP="002321D9"/>
    <w:p w14:paraId="3493D486" w14:textId="6CB0DBA6" w:rsidR="002321D9" w:rsidRPr="00182D68" w:rsidRDefault="002321D9" w:rsidP="002321D9">
      <w:pPr>
        <w:rPr>
          <w:b/>
          <w:bCs/>
          <w:color w:val="C00000"/>
        </w:rPr>
      </w:pPr>
      <w:r w:rsidRPr="00182D68">
        <w:rPr>
          <w:b/>
          <w:bCs/>
          <w:color w:val="C00000"/>
        </w:rPr>
        <w:t>Przygotowanie środowiska</w:t>
      </w:r>
    </w:p>
    <w:p w14:paraId="18E8B236" w14:textId="334BB885" w:rsidR="002321D9" w:rsidRDefault="002321D9" w:rsidP="002321D9">
      <w:r>
        <w:t xml:space="preserve">Biorąc pod uwagę </w:t>
      </w:r>
      <w:r w:rsidR="00182D68">
        <w:t xml:space="preserve">cechy nieneurotypowe potrzeba zapewniania </w:t>
      </w:r>
      <w:r>
        <w:t>spokojne</w:t>
      </w:r>
      <w:r w:rsidR="00182D68">
        <w:t>go</w:t>
      </w:r>
      <w:r>
        <w:t xml:space="preserve"> i kontrolowane</w:t>
      </w:r>
      <w:r w:rsidR="00182D68">
        <w:t>go</w:t>
      </w:r>
      <w:r>
        <w:t xml:space="preserve"> środowisk</w:t>
      </w:r>
      <w:r w:rsidR="00182D68">
        <w:t>a</w:t>
      </w:r>
      <w:r>
        <w:t xml:space="preserve"> dla rozmów kwalifikacyjnych. Nadmierny hałas, jasne światła i tłumy mogą być przytłaczające dla niektórych kandydatów.</w:t>
      </w:r>
    </w:p>
    <w:p w14:paraId="148A16E2" w14:textId="77777777" w:rsidR="002321D9" w:rsidRDefault="002321D9" w:rsidP="002321D9"/>
    <w:p w14:paraId="20A02DBF" w14:textId="77777777" w:rsidR="00182D68" w:rsidRPr="00182D68" w:rsidRDefault="002321D9" w:rsidP="002321D9">
      <w:pPr>
        <w:rPr>
          <w:b/>
          <w:bCs/>
          <w:color w:val="C00000"/>
        </w:rPr>
      </w:pPr>
      <w:r w:rsidRPr="00182D68">
        <w:rPr>
          <w:b/>
          <w:bCs/>
          <w:color w:val="C00000"/>
        </w:rPr>
        <w:t xml:space="preserve">Wsparcie i </w:t>
      </w:r>
      <w:r w:rsidR="00182D68" w:rsidRPr="00182D68">
        <w:rPr>
          <w:b/>
          <w:bCs/>
          <w:color w:val="C00000"/>
        </w:rPr>
        <w:t>d</w:t>
      </w:r>
      <w:r w:rsidRPr="00182D68">
        <w:rPr>
          <w:b/>
          <w:bCs/>
          <w:color w:val="C00000"/>
        </w:rPr>
        <w:t>ostosowani</w:t>
      </w:r>
      <w:r w:rsidR="00182D68" w:rsidRPr="00182D68">
        <w:rPr>
          <w:b/>
          <w:bCs/>
          <w:color w:val="C00000"/>
        </w:rPr>
        <w:t>e</w:t>
      </w:r>
      <w:r w:rsidRPr="00182D68">
        <w:rPr>
          <w:b/>
          <w:bCs/>
          <w:color w:val="C00000"/>
        </w:rPr>
        <w:t xml:space="preserve"> </w:t>
      </w:r>
    </w:p>
    <w:p w14:paraId="60C785A5" w14:textId="1DB797FD" w:rsidR="00182D68" w:rsidRDefault="00182D68" w:rsidP="00182D68">
      <w:r>
        <w:t>Potrzeba z</w:t>
      </w:r>
      <w:r w:rsidR="002321D9">
        <w:t>aofer</w:t>
      </w:r>
      <w:r>
        <w:t>ować</w:t>
      </w:r>
      <w:r w:rsidR="002321D9">
        <w:t xml:space="preserve"> odpowiednie wsparcie i dostosowania, takie jak dodatkowy czas na odpowiedzi lub możliwość zadawania pytań.</w:t>
      </w:r>
      <w:r>
        <w:t xml:space="preserve"> Należy też wyjaśnić każdy etap procesu rekrutacji, aby kandydaci wiedzieli, czego mogą się spodziewać.</w:t>
      </w:r>
    </w:p>
    <w:p w14:paraId="613CF270" w14:textId="77777777" w:rsidR="002321D9" w:rsidRDefault="002321D9" w:rsidP="002321D9"/>
    <w:p w14:paraId="29C90422" w14:textId="77777777" w:rsidR="008400C8" w:rsidRDefault="008400C8" w:rsidP="002321D9">
      <w:pPr>
        <w:rPr>
          <w:b/>
          <w:bCs/>
          <w:color w:val="C00000"/>
        </w:rPr>
      </w:pPr>
    </w:p>
    <w:p w14:paraId="5ADA459F" w14:textId="3A6758DE" w:rsidR="00182D68" w:rsidRPr="00182D68" w:rsidRDefault="002321D9" w:rsidP="002321D9">
      <w:pPr>
        <w:rPr>
          <w:b/>
          <w:bCs/>
          <w:color w:val="C00000"/>
        </w:rPr>
      </w:pPr>
      <w:r w:rsidRPr="00182D68">
        <w:rPr>
          <w:b/>
          <w:bCs/>
          <w:color w:val="C00000"/>
        </w:rPr>
        <w:lastRenderedPageBreak/>
        <w:t xml:space="preserve">Unikanie </w:t>
      </w:r>
      <w:r w:rsidR="00182D68" w:rsidRPr="00182D68">
        <w:rPr>
          <w:b/>
          <w:bCs/>
          <w:color w:val="C00000"/>
        </w:rPr>
        <w:t>założeń</w:t>
      </w:r>
      <w:r w:rsidRPr="00182D68">
        <w:rPr>
          <w:b/>
          <w:bCs/>
          <w:color w:val="C00000"/>
        </w:rPr>
        <w:t xml:space="preserve"> </w:t>
      </w:r>
    </w:p>
    <w:p w14:paraId="7A2D8C13" w14:textId="213A34D8" w:rsidR="002321D9" w:rsidRDefault="002321D9" w:rsidP="002321D9">
      <w:r>
        <w:t>Unika</w:t>
      </w:r>
      <w:r w:rsidR="00182D68">
        <w:t>ć</w:t>
      </w:r>
      <w:r>
        <w:t xml:space="preserve"> zakładania, że wszystkie osoby nieneurotypowe mają te same potrzeby. Zamiast tego, </w:t>
      </w:r>
      <w:r w:rsidR="00182D68">
        <w:t xml:space="preserve">potrzeba </w:t>
      </w:r>
      <w:r>
        <w:t>skup</w:t>
      </w:r>
      <w:r w:rsidR="00182D68">
        <w:t>ić</w:t>
      </w:r>
      <w:r>
        <w:t xml:space="preserve"> się na indywidualnym podejściu i dostosowaniu procesu do konkretnego kandydata.</w:t>
      </w:r>
    </w:p>
    <w:p w14:paraId="58BE1E04" w14:textId="77777777" w:rsidR="00182D68" w:rsidRDefault="00182D68" w:rsidP="002321D9"/>
    <w:p w14:paraId="33613D8D" w14:textId="77777777" w:rsidR="00182D68" w:rsidRPr="00182D68" w:rsidRDefault="002321D9" w:rsidP="002321D9">
      <w:pPr>
        <w:rPr>
          <w:b/>
          <w:bCs/>
          <w:color w:val="C00000"/>
        </w:rPr>
      </w:pPr>
      <w:r w:rsidRPr="00182D68">
        <w:rPr>
          <w:b/>
          <w:bCs/>
          <w:color w:val="C00000"/>
        </w:rPr>
        <w:t xml:space="preserve">Szkolenie dla </w:t>
      </w:r>
      <w:proofErr w:type="spellStart"/>
      <w:r w:rsidR="00182D68" w:rsidRPr="00182D68">
        <w:rPr>
          <w:b/>
          <w:bCs/>
          <w:color w:val="C00000"/>
        </w:rPr>
        <w:t>r</w:t>
      </w:r>
      <w:r w:rsidRPr="00182D68">
        <w:rPr>
          <w:b/>
          <w:bCs/>
          <w:color w:val="C00000"/>
        </w:rPr>
        <w:t>ekruterów</w:t>
      </w:r>
      <w:proofErr w:type="spellEnd"/>
    </w:p>
    <w:p w14:paraId="4A6A1287" w14:textId="310B3F02" w:rsidR="002321D9" w:rsidRDefault="00182D68" w:rsidP="002321D9">
      <w:r>
        <w:t xml:space="preserve">Potrzeba też odpowiedniego </w:t>
      </w:r>
      <w:r w:rsidR="002321D9">
        <w:t xml:space="preserve">szkolenia </w:t>
      </w:r>
      <w:proofErr w:type="spellStart"/>
      <w:r w:rsidR="002321D9">
        <w:t>rekruterów</w:t>
      </w:r>
      <w:proofErr w:type="spellEnd"/>
      <w:r w:rsidR="002321D9">
        <w:t xml:space="preserve"> na temat </w:t>
      </w:r>
      <w:proofErr w:type="spellStart"/>
      <w:r w:rsidR="002321D9">
        <w:t>neurozróżnicowania</w:t>
      </w:r>
      <w:proofErr w:type="spellEnd"/>
      <w:r w:rsidR="002321D9">
        <w:t xml:space="preserve">, aby zrozumieli, jak najlepiej wspierać kandydatów </w:t>
      </w:r>
      <w:r>
        <w:t>mogących posiadać takie cechy</w:t>
      </w:r>
      <w:r w:rsidR="002321D9">
        <w:t>.</w:t>
      </w:r>
      <w:r>
        <w:t xml:space="preserve"> </w:t>
      </w:r>
      <w:proofErr w:type="spellStart"/>
      <w:r>
        <w:t>Rekruterzy</w:t>
      </w:r>
      <w:proofErr w:type="spellEnd"/>
      <w:r>
        <w:t xml:space="preserve"> powinni pamiętać, że kandydaci </w:t>
      </w:r>
      <w:proofErr w:type="spellStart"/>
      <w:r>
        <w:t>nieneurtypowi</w:t>
      </w:r>
      <w:proofErr w:type="spellEnd"/>
      <w:r>
        <w:t xml:space="preserve"> mogą inaczej interpretować mowę ciała, komunikację werbalną i kontakt wzrokowy, dlatego ważne jest prowadzenie rozmów kwalifikacyjnych skoncentrowanych wyłącznie na umiejętnościach związanych ze stanowiskiem.</w:t>
      </w:r>
    </w:p>
    <w:p w14:paraId="5C248523" w14:textId="77777777" w:rsidR="00182D68" w:rsidRDefault="00182D68" w:rsidP="002321D9"/>
    <w:p w14:paraId="2C8F2253" w14:textId="7348C7FF" w:rsidR="00182D68" w:rsidRDefault="00182D68" w:rsidP="002321D9">
      <w:r>
        <w:t xml:space="preserve">Dlaczego </w:t>
      </w:r>
      <w:r w:rsidR="008400C8">
        <w:t>jednak rekrutacja osób nieneurotypowych jest taka ważna? Jakie korzyści mogą mieć firmy i instytucje z zatrudnienia osób nieneurotypowych?</w:t>
      </w:r>
    </w:p>
    <w:p w14:paraId="0DE971D1" w14:textId="57609FD5" w:rsidR="004441A3" w:rsidRDefault="008400C8" w:rsidP="004441A3">
      <w:r>
        <w:t>Osoby nieneurotypowe często posiadają unikalne sposoby myślenia i rozwiązywania problemów, co może prowadzić do innowacyjnych pomysłów i kreatywnych rozwiązań.</w:t>
      </w:r>
      <w:r w:rsidRPr="008400C8">
        <w:t xml:space="preserve"> </w:t>
      </w:r>
      <w:r>
        <w:t>Na przykład, osoby z autyzmem często mają doskonałe zdolności analityczne i logiczne, a osoby z ADHD są często kreatywne i pomysłowe.</w:t>
      </w:r>
      <w:r w:rsidRPr="008400C8">
        <w:t xml:space="preserve"> </w:t>
      </w:r>
      <w:r>
        <w:t xml:space="preserve">rozwiązań. </w:t>
      </w:r>
      <w:r w:rsidR="004441A3">
        <w:t>Dzięki swoim unikalnym umiejętnościom i skupieniu, niektóre osoby nieneurotypowe mogą znacznie przyczynić się do poprawy jakości pracy i zwiększenia produktywności. Korzysta z tego p</w:t>
      </w:r>
      <w:r>
        <w:t>rzykładowo Google</w:t>
      </w:r>
      <w:r w:rsidR="004441A3">
        <w:t>, które</w:t>
      </w:r>
      <w:r>
        <w:t xml:space="preserve"> zatrudnia osoby z autyzmem w swoich zespołach programistycznych. Te osoby są często bardzo dobre w znajdowaniu błędów </w:t>
      </w:r>
      <w:r w:rsidR="004441A3">
        <w:t>w kodzie, co pomaga w zapewnieniu wysokiej jakości produktów.</w:t>
      </w:r>
    </w:p>
    <w:p w14:paraId="147159A9" w14:textId="30E0A12C" w:rsidR="008400C8" w:rsidRDefault="004441A3" w:rsidP="008400C8">
      <w:r>
        <w:t xml:space="preserve">Zatrudnianie osób z różnymi doświadczeniami i sposobami myślenia przyczynia się do bogatszej różnorodności perspektyw, co jest kluczowe w podejmowaniu decyzji i tworzeniu strategii. Osoby </w:t>
      </w:r>
      <w:r>
        <w:lastRenderedPageBreak/>
        <w:t>nieneurotypowe często mają niekonwencjonalne podejście do problemów, co może prowadzić do nowych i innowacyjnych. Takie podejście znajduje na przykład zastosowanie w</w:t>
      </w:r>
      <w:r w:rsidR="008400C8">
        <w:t xml:space="preserve"> Apple</w:t>
      </w:r>
      <w:r>
        <w:t>, które</w:t>
      </w:r>
      <w:r w:rsidR="008400C8">
        <w:t xml:space="preserve"> zatrudnia osoby z ADHD w swoich zespołach projektowych. Są oni często bardzo kreatywne i pomysłowe, co przyczynia się do tworzenia innowacji.</w:t>
      </w:r>
    </w:p>
    <w:p w14:paraId="60318DF7" w14:textId="6C555C90" w:rsidR="005C52F6" w:rsidRDefault="004441A3" w:rsidP="008400C8">
      <w:r>
        <w:t>Co ciekawe też, o</w:t>
      </w:r>
      <w:r w:rsidR="008400C8">
        <w:t>soby nieneurotypowe, gdy znajdą odpowiednie miejsce pracy, często charakteryzują się wysokim poziomem lojalności wobec pracodawcy, co może przyczynić się do zmniejszenia fluktuacji pracowników.</w:t>
      </w:r>
    </w:p>
    <w:p w14:paraId="4BEEA040" w14:textId="5BCCC7D1" w:rsidR="004441A3" w:rsidRDefault="004441A3" w:rsidP="008400C8">
      <w:r>
        <w:t xml:space="preserve">Dobrym podsumowanie </w:t>
      </w:r>
      <w:r w:rsidR="00EF7EB0">
        <w:t>korzyści płynących z zatrudnienia osób z cechami nieneurotypowymi, ale też problemów, które z tego mogą wynikać stanowi przedstawiona poniżej tabela.</w:t>
      </w:r>
    </w:p>
    <w:tbl>
      <w:tblPr>
        <w:tblStyle w:val="Generaltable"/>
        <w:tblW w:w="0" w:type="auto"/>
        <w:tblLook w:val="04A0" w:firstRow="1" w:lastRow="0" w:firstColumn="1" w:lastColumn="0" w:noHBand="0" w:noVBand="1"/>
      </w:tblPr>
      <w:tblGrid>
        <w:gridCol w:w="2769"/>
        <w:gridCol w:w="2769"/>
        <w:gridCol w:w="2769"/>
      </w:tblGrid>
      <w:tr w:rsidR="004441A3" w14:paraId="329464E4" w14:textId="77777777" w:rsidTr="004441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9" w:type="dxa"/>
          </w:tcPr>
          <w:p w14:paraId="03FD65DA" w14:textId="3B65CC71" w:rsidR="004441A3" w:rsidRDefault="004441A3" w:rsidP="008400C8">
            <w:r>
              <w:t>Zaburzenie</w:t>
            </w:r>
          </w:p>
        </w:tc>
        <w:tc>
          <w:tcPr>
            <w:tcW w:w="2769" w:type="dxa"/>
          </w:tcPr>
          <w:p w14:paraId="2B390E53" w14:textId="5BA388BD" w:rsidR="004441A3" w:rsidRDefault="004441A3" w:rsidP="008400C8">
            <w:pPr>
              <w:cnfStyle w:val="100000000000" w:firstRow="1" w:lastRow="0" w:firstColumn="0" w:lastColumn="0" w:oddVBand="0" w:evenVBand="0" w:oddHBand="0" w:evenHBand="0" w:firstRowFirstColumn="0" w:firstRowLastColumn="0" w:lastRowFirstColumn="0" w:lastRowLastColumn="0"/>
            </w:pPr>
            <w:r w:rsidRPr="004441A3">
              <w:t>Potencjalny wkład</w:t>
            </w:r>
          </w:p>
        </w:tc>
        <w:tc>
          <w:tcPr>
            <w:tcW w:w="2769" w:type="dxa"/>
          </w:tcPr>
          <w:p w14:paraId="46E74D7C" w14:textId="2BC19746" w:rsidR="004441A3" w:rsidRDefault="004441A3" w:rsidP="008400C8">
            <w:pPr>
              <w:cnfStyle w:val="100000000000" w:firstRow="1" w:lastRow="0" w:firstColumn="0" w:lastColumn="0" w:oddVBand="0" w:evenVBand="0" w:oddHBand="0" w:evenHBand="0" w:firstRowFirstColumn="0" w:firstRowLastColumn="0" w:lastRowFirstColumn="0" w:lastRowLastColumn="0"/>
            </w:pPr>
            <w:r w:rsidRPr="004441A3">
              <w:t xml:space="preserve">Potencjalne wyzwania </w:t>
            </w:r>
          </w:p>
        </w:tc>
      </w:tr>
      <w:tr w:rsidR="004441A3" w14:paraId="4E07E444" w14:textId="77777777" w:rsidTr="0044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01EF4650" w14:textId="015D2BDB" w:rsidR="004441A3" w:rsidRDefault="004441A3" w:rsidP="008400C8">
            <w:r>
              <w:t>ADHD</w:t>
            </w:r>
          </w:p>
        </w:tc>
        <w:tc>
          <w:tcPr>
            <w:tcW w:w="2769" w:type="dxa"/>
          </w:tcPr>
          <w:p w14:paraId="6152CFDD"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Kreatywność, hiper-koncentracja,</w:t>
            </w:r>
          </w:p>
          <w:p w14:paraId="40FD3949"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energia i pasja,</w:t>
            </w:r>
          </w:p>
          <w:p w14:paraId="4D8B83DB"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autentyczność,</w:t>
            </w:r>
          </w:p>
          <w:p w14:paraId="5369297A" w14:textId="7C4E3655" w:rsidR="004441A3" w:rsidRDefault="004441A3" w:rsidP="004441A3">
            <w:pPr>
              <w:cnfStyle w:val="000000100000" w:firstRow="0" w:lastRow="0" w:firstColumn="0" w:lastColumn="0" w:oddVBand="0" w:evenVBand="0" w:oddHBand="1" w:evenHBand="0" w:firstRowFirstColumn="0" w:firstRowLastColumn="0" w:lastRowFirstColumn="0" w:lastRowLastColumn="0"/>
            </w:pPr>
            <w:r>
              <w:t>przedsiębiorczość</w:t>
            </w:r>
          </w:p>
        </w:tc>
        <w:tc>
          <w:tcPr>
            <w:tcW w:w="2769" w:type="dxa"/>
          </w:tcPr>
          <w:p w14:paraId="4F639C22" w14:textId="40975047" w:rsidR="004441A3" w:rsidRDefault="004441A3" w:rsidP="004441A3">
            <w:pPr>
              <w:cnfStyle w:val="000000100000" w:firstRow="0" w:lastRow="0" w:firstColumn="0" w:lastColumn="0" w:oddVBand="0" w:evenVBand="0" w:oddHBand="1" w:evenHBand="0" w:firstRowFirstColumn="0" w:firstRowLastColumn="0" w:lastRowFirstColumn="0" w:lastRowLastColumn="0"/>
            </w:pPr>
            <w:r>
              <w:t>Impulsywność, wybuchy,</w:t>
            </w:r>
          </w:p>
          <w:p w14:paraId="3B69B126"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nadpobudliwość, niski próg frustracji,</w:t>
            </w:r>
          </w:p>
          <w:p w14:paraId="6CB194AF" w14:textId="75C42114" w:rsidR="004441A3" w:rsidRDefault="004441A3" w:rsidP="004441A3">
            <w:pPr>
              <w:cnfStyle w:val="000000100000" w:firstRow="0" w:lastRow="0" w:firstColumn="0" w:lastColumn="0" w:oddVBand="0" w:evenVBand="0" w:oddHBand="1" w:evenHBand="0" w:firstRowFirstColumn="0" w:firstRowLastColumn="0" w:lastRowFirstColumn="0" w:lastRowLastColumn="0"/>
            </w:pPr>
            <w:r>
              <w:t>słabe umiejętności słuchania, trudności z</w:t>
            </w:r>
            <w:r w:rsidR="00EF7EB0">
              <w:t> </w:t>
            </w:r>
            <w:r>
              <w:t>utrzymaniem zatrudnienia, trudności</w:t>
            </w:r>
          </w:p>
          <w:p w14:paraId="3B071ACC"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z pracą zespołową</w:t>
            </w:r>
          </w:p>
          <w:p w14:paraId="679EB075"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4E5F874D"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5943A04C"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6E44412E"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5B48E604"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078A3B3D" w14:textId="77777777" w:rsidR="00EF7EB0" w:rsidRDefault="00EF7EB0" w:rsidP="004441A3">
            <w:pPr>
              <w:cnfStyle w:val="000000100000" w:firstRow="0" w:lastRow="0" w:firstColumn="0" w:lastColumn="0" w:oddVBand="0" w:evenVBand="0" w:oddHBand="1" w:evenHBand="0" w:firstRowFirstColumn="0" w:firstRowLastColumn="0" w:lastRowFirstColumn="0" w:lastRowLastColumn="0"/>
            </w:pPr>
          </w:p>
          <w:p w14:paraId="046912EE" w14:textId="73A1DDDB" w:rsidR="00EF7EB0" w:rsidRDefault="00EF7EB0" w:rsidP="004441A3">
            <w:pPr>
              <w:cnfStyle w:val="000000100000" w:firstRow="0" w:lastRow="0" w:firstColumn="0" w:lastColumn="0" w:oddVBand="0" w:evenVBand="0" w:oddHBand="1" w:evenHBand="0" w:firstRowFirstColumn="0" w:firstRowLastColumn="0" w:lastRowFirstColumn="0" w:lastRowLastColumn="0"/>
            </w:pPr>
          </w:p>
        </w:tc>
      </w:tr>
      <w:tr w:rsidR="004441A3" w14:paraId="3451008E" w14:textId="77777777" w:rsidTr="00444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1FCCDA33" w14:textId="7199527E" w:rsidR="004441A3" w:rsidRDefault="004441A3" w:rsidP="008400C8">
            <w:r>
              <w:lastRenderedPageBreak/>
              <w:t>Spektrum autyzmu</w:t>
            </w:r>
          </w:p>
        </w:tc>
        <w:tc>
          <w:tcPr>
            <w:tcW w:w="2769" w:type="dxa"/>
          </w:tcPr>
          <w:p w14:paraId="5A8A54D4" w14:textId="3DF9482E" w:rsidR="004441A3" w:rsidRDefault="004441A3" w:rsidP="004441A3">
            <w:pPr>
              <w:cnfStyle w:val="000000010000" w:firstRow="0" w:lastRow="0" w:firstColumn="0" w:lastColumn="0" w:oddVBand="0" w:evenVBand="0" w:oddHBand="0" w:evenHBand="1" w:firstRowFirstColumn="0" w:firstRowLastColumn="0" w:lastRowFirstColumn="0" w:lastRowLastColumn="0"/>
            </w:pPr>
            <w:r>
              <w:t>Koncentracja, przetwarzanie szczegółów, dobra pamięć,</w:t>
            </w:r>
          </w:p>
          <w:p w14:paraId="10DB93AC" w14:textId="07E54088" w:rsidR="004441A3" w:rsidRDefault="004441A3" w:rsidP="004441A3">
            <w:pPr>
              <w:cnfStyle w:val="000000010000" w:firstRow="0" w:lastRow="0" w:firstColumn="0" w:lastColumn="0" w:oddVBand="0" w:evenVBand="0" w:oddHBand="0" w:evenHBand="1" w:firstRowFirstColumn="0" w:firstRowLastColumn="0" w:lastRowFirstColumn="0" w:lastRowLastColumn="0"/>
            </w:pPr>
            <w:r>
              <w:t>uczciwość, świadomość sensoryczna</w:t>
            </w:r>
          </w:p>
        </w:tc>
        <w:tc>
          <w:tcPr>
            <w:tcW w:w="2769" w:type="dxa"/>
          </w:tcPr>
          <w:p w14:paraId="3F2AF7F9" w14:textId="3068AD42" w:rsidR="004441A3" w:rsidRDefault="004441A3" w:rsidP="004441A3">
            <w:pPr>
              <w:cnfStyle w:val="000000010000" w:firstRow="0" w:lastRow="0" w:firstColumn="0" w:lastColumn="0" w:oddVBand="0" w:evenVBand="0" w:oddHBand="0" w:evenHBand="1" w:firstRowFirstColumn="0" w:firstRowLastColumn="0" w:lastRowFirstColumn="0" w:lastRowLastColumn="0"/>
            </w:pPr>
            <w:r>
              <w:t>Nadwrażliwość i</w:t>
            </w:r>
            <w:r w:rsidR="00EF7EB0">
              <w:t> </w:t>
            </w:r>
            <w:proofErr w:type="spellStart"/>
            <w:r>
              <w:t>niedowrażliwość</w:t>
            </w:r>
            <w:proofErr w:type="spellEnd"/>
            <w:r>
              <w:t xml:space="preserve"> na bodźce, trudności</w:t>
            </w:r>
          </w:p>
          <w:p w14:paraId="6E77DD0D" w14:textId="77777777" w:rsidR="004441A3" w:rsidRDefault="004441A3" w:rsidP="004441A3">
            <w:pPr>
              <w:cnfStyle w:val="000000010000" w:firstRow="0" w:lastRow="0" w:firstColumn="0" w:lastColumn="0" w:oddVBand="0" w:evenVBand="0" w:oddHBand="0" w:evenHBand="1" w:firstRowFirstColumn="0" w:firstRowLastColumn="0" w:lastRowFirstColumn="0" w:lastRowLastColumn="0"/>
            </w:pPr>
            <w:r>
              <w:t>z mową i językiem, trudności</w:t>
            </w:r>
          </w:p>
          <w:p w14:paraId="52BCE95A" w14:textId="07683483" w:rsidR="004441A3" w:rsidRDefault="004441A3" w:rsidP="004441A3">
            <w:pPr>
              <w:cnfStyle w:val="000000010000" w:firstRow="0" w:lastRow="0" w:firstColumn="0" w:lastColumn="0" w:oddVBand="0" w:evenVBand="0" w:oddHBand="0" w:evenHBand="1" w:firstRowFirstColumn="0" w:firstRowLastColumn="0" w:lastRowFirstColumn="0" w:lastRowLastColumn="0"/>
            </w:pPr>
            <w:r>
              <w:t>z kontrolą stresu, słabe umiejętności słuchania</w:t>
            </w:r>
          </w:p>
        </w:tc>
      </w:tr>
      <w:tr w:rsidR="004441A3" w14:paraId="38ED35F3" w14:textId="77777777" w:rsidTr="0044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7CA66165" w14:textId="77705B46" w:rsidR="004441A3" w:rsidRDefault="004441A3" w:rsidP="008400C8">
            <w:proofErr w:type="spellStart"/>
            <w:r>
              <w:t>Dyspraksja</w:t>
            </w:r>
            <w:proofErr w:type="spellEnd"/>
          </w:p>
        </w:tc>
        <w:tc>
          <w:tcPr>
            <w:tcW w:w="2769" w:type="dxa"/>
          </w:tcPr>
          <w:p w14:paraId="71F5866C" w14:textId="77777777" w:rsidR="004441A3" w:rsidRDefault="004441A3" w:rsidP="004441A3">
            <w:pPr>
              <w:cnfStyle w:val="000000100000" w:firstRow="0" w:lastRow="0" w:firstColumn="0" w:lastColumn="0" w:oddVBand="0" w:evenVBand="0" w:oddHBand="1" w:evenHBand="0" w:firstRowFirstColumn="0" w:firstRowLastColumn="0" w:lastRowFirstColumn="0" w:lastRowLastColumn="0"/>
            </w:pPr>
            <w:r>
              <w:t>Umiejętności werbalne, empatia,</w:t>
            </w:r>
          </w:p>
          <w:p w14:paraId="15F35974" w14:textId="7332CD06" w:rsidR="004441A3" w:rsidRDefault="004441A3" w:rsidP="004441A3">
            <w:pPr>
              <w:cnfStyle w:val="000000100000" w:firstRow="0" w:lastRow="0" w:firstColumn="0" w:lastColumn="0" w:oddVBand="0" w:evenVBand="0" w:oddHBand="1" w:evenHBand="0" w:firstRowFirstColumn="0" w:firstRowLastColumn="0" w:lastRowFirstColumn="0" w:lastRowLastColumn="0"/>
            </w:pPr>
            <w:r>
              <w:t>intuicja, uczciwość</w:t>
            </w:r>
          </w:p>
        </w:tc>
        <w:tc>
          <w:tcPr>
            <w:tcW w:w="2769" w:type="dxa"/>
          </w:tcPr>
          <w:p w14:paraId="7573683A" w14:textId="7981C60B" w:rsidR="00EF7EB0" w:rsidRDefault="00EF7EB0" w:rsidP="00EF7EB0">
            <w:pPr>
              <w:cnfStyle w:val="000000100000" w:firstRow="0" w:lastRow="0" w:firstColumn="0" w:lastColumn="0" w:oddVBand="0" w:evenVBand="0" w:oddHBand="1" w:evenHBand="0" w:firstRowFirstColumn="0" w:firstRowLastColumn="0" w:lastRowFirstColumn="0" w:lastRowLastColumn="0"/>
            </w:pPr>
            <w:r>
              <w:t>Trudności z ruchami/</w:t>
            </w:r>
          </w:p>
          <w:p w14:paraId="67726B09" w14:textId="0D620B97" w:rsidR="00EF7EB0" w:rsidRDefault="00EF7EB0" w:rsidP="00EF7EB0">
            <w:pPr>
              <w:cnfStyle w:val="000000100000" w:firstRow="0" w:lastRow="0" w:firstColumn="0" w:lastColumn="0" w:oddVBand="0" w:evenVBand="0" w:oddHBand="1" w:evenHBand="0" w:firstRowFirstColumn="0" w:firstRowLastColumn="0" w:lastRowFirstColumn="0" w:lastRowLastColumn="0"/>
            </w:pPr>
            <w:r>
              <w:t>koordynacją ruchową, słaba świadomość przestrzenna,</w:t>
            </w:r>
          </w:p>
          <w:p w14:paraId="33BB7110" w14:textId="4DA37683" w:rsidR="004441A3" w:rsidRDefault="00EF7EB0" w:rsidP="00EF7EB0">
            <w:pPr>
              <w:cnfStyle w:val="000000100000" w:firstRow="0" w:lastRow="0" w:firstColumn="0" w:lastColumn="0" w:oddVBand="0" w:evenVBand="0" w:oddHBand="1" w:evenHBand="0" w:firstRowFirstColumn="0" w:firstRowLastColumn="0" w:lastRowFirstColumn="0" w:lastRowLastColumn="0"/>
            </w:pPr>
            <w:r>
              <w:t xml:space="preserve">nadwrażliwość lub </w:t>
            </w:r>
            <w:proofErr w:type="spellStart"/>
            <w:r>
              <w:t>niedowrażliwość</w:t>
            </w:r>
            <w:proofErr w:type="spellEnd"/>
            <w:r>
              <w:t xml:space="preserve"> na bodźce, trudności z mową i językiem, słabe umiejętności słuchania</w:t>
            </w:r>
          </w:p>
        </w:tc>
      </w:tr>
      <w:tr w:rsidR="00EF7EB0" w14:paraId="7F6990C7" w14:textId="77777777" w:rsidTr="00444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5337E46A" w14:textId="463A908E" w:rsidR="00EF7EB0" w:rsidRDefault="00EF7EB0" w:rsidP="008400C8">
            <w:r>
              <w:t>Dyskalkulia</w:t>
            </w:r>
          </w:p>
        </w:tc>
        <w:tc>
          <w:tcPr>
            <w:tcW w:w="2769" w:type="dxa"/>
          </w:tcPr>
          <w:p w14:paraId="05E2D10E"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Umiejętności werbalne, innowacyjne</w:t>
            </w:r>
          </w:p>
          <w:p w14:paraId="22428CE7" w14:textId="697AC46D" w:rsidR="00EF7EB0" w:rsidRDefault="00EF7EB0" w:rsidP="00EF7EB0">
            <w:pPr>
              <w:cnfStyle w:val="000000010000" w:firstRow="0" w:lastRow="0" w:firstColumn="0" w:lastColumn="0" w:oddVBand="0" w:evenVBand="0" w:oddHBand="0" w:evenHBand="1" w:firstRowFirstColumn="0" w:firstRowLastColumn="0" w:lastRowFirstColumn="0" w:lastRowLastColumn="0"/>
            </w:pPr>
            <w:r>
              <w:t>myślenie, kreatywność</w:t>
            </w:r>
          </w:p>
        </w:tc>
        <w:tc>
          <w:tcPr>
            <w:tcW w:w="2769" w:type="dxa"/>
          </w:tcPr>
          <w:p w14:paraId="2ED64439"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Trudności z pojęciami liczbowymi i obliczeniami, słabe umiejętności słuchania</w:t>
            </w:r>
          </w:p>
          <w:p w14:paraId="4FFAF25E"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p>
          <w:p w14:paraId="14F07083"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p>
          <w:p w14:paraId="47E3D7D4"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p>
          <w:p w14:paraId="6E243DF3" w14:textId="79135116" w:rsidR="00EF7EB0" w:rsidRDefault="00EF7EB0" w:rsidP="00EF7EB0">
            <w:pPr>
              <w:cnfStyle w:val="000000010000" w:firstRow="0" w:lastRow="0" w:firstColumn="0" w:lastColumn="0" w:oddVBand="0" w:evenVBand="0" w:oddHBand="0" w:evenHBand="1" w:firstRowFirstColumn="0" w:firstRowLastColumn="0" w:lastRowFirstColumn="0" w:lastRowLastColumn="0"/>
            </w:pPr>
          </w:p>
        </w:tc>
      </w:tr>
      <w:tr w:rsidR="00EF7EB0" w14:paraId="5A9B69FC" w14:textId="77777777" w:rsidTr="00444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743AD2E1" w14:textId="2CAD7F80" w:rsidR="00EF7EB0" w:rsidRDefault="00EF7EB0" w:rsidP="008400C8">
            <w:r>
              <w:t>Dysleksja</w:t>
            </w:r>
          </w:p>
        </w:tc>
        <w:tc>
          <w:tcPr>
            <w:tcW w:w="2769" w:type="dxa"/>
          </w:tcPr>
          <w:p w14:paraId="31A569F9" w14:textId="77777777" w:rsidR="00EF7EB0" w:rsidRDefault="00EF7EB0" w:rsidP="00EF7EB0">
            <w:pPr>
              <w:cnfStyle w:val="000000100000" w:firstRow="0" w:lastRow="0" w:firstColumn="0" w:lastColumn="0" w:oddVBand="0" w:evenVBand="0" w:oddHBand="1" w:evenHBand="0" w:firstRowFirstColumn="0" w:firstRowLastColumn="0" w:lastRowFirstColumn="0" w:lastRowLastColumn="0"/>
            </w:pPr>
            <w:r>
              <w:t>Myślenie wizualne, kreatywność,</w:t>
            </w:r>
          </w:p>
          <w:p w14:paraId="31DF49C1" w14:textId="59BDF541" w:rsidR="00EF7EB0" w:rsidRDefault="00EF7EB0" w:rsidP="00EF7EB0">
            <w:pPr>
              <w:cnfStyle w:val="000000100000" w:firstRow="0" w:lastRow="0" w:firstColumn="0" w:lastColumn="0" w:oddVBand="0" w:evenVBand="0" w:oddHBand="1" w:evenHBand="0" w:firstRowFirstColumn="0" w:firstRowLastColumn="0" w:lastRowFirstColumn="0" w:lastRowLastColumn="0"/>
            </w:pPr>
            <w:r>
              <w:lastRenderedPageBreak/>
              <w:t xml:space="preserve">przestrzenne </w:t>
            </w:r>
            <w:proofErr w:type="gramStart"/>
            <w:r>
              <w:t>zdolności  mechaniczne</w:t>
            </w:r>
            <w:proofErr w:type="gramEnd"/>
            <w:r>
              <w:t>,</w:t>
            </w:r>
          </w:p>
          <w:p w14:paraId="5E1D31DA" w14:textId="77777777" w:rsidR="00EF7EB0" w:rsidRDefault="00EF7EB0" w:rsidP="00EF7EB0">
            <w:pPr>
              <w:cnfStyle w:val="000000100000" w:firstRow="0" w:lastRow="0" w:firstColumn="0" w:lastColumn="0" w:oddVBand="0" w:evenVBand="0" w:oddHBand="1" w:evenHBand="0" w:firstRowFirstColumn="0" w:firstRowLastColumn="0" w:lastRowFirstColumn="0" w:lastRowLastColumn="0"/>
            </w:pPr>
            <w:r>
              <w:t>autentyczność,</w:t>
            </w:r>
          </w:p>
          <w:p w14:paraId="0FB90205" w14:textId="210E4FA4" w:rsidR="00EF7EB0" w:rsidRDefault="00EF7EB0" w:rsidP="00EF7EB0">
            <w:pPr>
              <w:cnfStyle w:val="000000100000" w:firstRow="0" w:lastRow="0" w:firstColumn="0" w:lastColumn="0" w:oddVBand="0" w:evenVBand="0" w:oddHBand="1" w:evenHBand="0" w:firstRowFirstColumn="0" w:firstRowLastColumn="0" w:lastRowFirstColumn="0" w:lastRowLastColumn="0"/>
            </w:pPr>
            <w:r>
              <w:t>przedsiębiorczość</w:t>
            </w:r>
          </w:p>
        </w:tc>
        <w:tc>
          <w:tcPr>
            <w:tcW w:w="2769" w:type="dxa"/>
          </w:tcPr>
          <w:p w14:paraId="7E7DCF21" w14:textId="31549E54" w:rsidR="00EF7EB0" w:rsidRDefault="00EF7EB0" w:rsidP="00EF7EB0">
            <w:pPr>
              <w:cnfStyle w:val="000000100000" w:firstRow="0" w:lastRow="0" w:firstColumn="0" w:lastColumn="0" w:oddVBand="0" w:evenVBand="0" w:oddHBand="1" w:evenHBand="0" w:firstRowFirstColumn="0" w:firstRowLastColumn="0" w:lastRowFirstColumn="0" w:lastRowLastColumn="0"/>
            </w:pPr>
            <w:r>
              <w:lastRenderedPageBreak/>
              <w:t>Trudności językowe; preferencja</w:t>
            </w:r>
          </w:p>
          <w:p w14:paraId="3B801947" w14:textId="77777777" w:rsidR="00EF7EB0" w:rsidRDefault="00EF7EB0" w:rsidP="00EF7EB0">
            <w:pPr>
              <w:cnfStyle w:val="000000100000" w:firstRow="0" w:lastRow="0" w:firstColumn="0" w:lastColumn="0" w:oddVBand="0" w:evenVBand="0" w:oddHBand="1" w:evenHBand="0" w:firstRowFirstColumn="0" w:firstRowLastColumn="0" w:lastRowFirstColumn="0" w:lastRowLastColumn="0"/>
            </w:pPr>
            <w:r>
              <w:lastRenderedPageBreak/>
              <w:t>do myślenia nielinearnego, rozproszenie uwagi,</w:t>
            </w:r>
          </w:p>
          <w:p w14:paraId="478F2C18" w14:textId="3C568F09" w:rsidR="00EF7EB0" w:rsidRDefault="00EF7EB0" w:rsidP="00EF7EB0">
            <w:pPr>
              <w:cnfStyle w:val="000000100000" w:firstRow="0" w:lastRow="0" w:firstColumn="0" w:lastColumn="0" w:oddVBand="0" w:evenVBand="0" w:oddHBand="1" w:evenHBand="0" w:firstRowFirstColumn="0" w:firstRowLastColumn="0" w:lastRowFirstColumn="0" w:lastRowLastColumn="0"/>
            </w:pPr>
            <w:r>
              <w:t>słabe umiejętności słuchania</w:t>
            </w:r>
          </w:p>
        </w:tc>
      </w:tr>
      <w:tr w:rsidR="00EF7EB0" w14:paraId="3902C97A" w14:textId="77777777" w:rsidTr="00444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Pr>
          <w:p w14:paraId="34DF5C73" w14:textId="22B6F055" w:rsidR="00EF7EB0" w:rsidRDefault="00EF7EB0" w:rsidP="008400C8">
            <w:r>
              <w:lastRenderedPageBreak/>
              <w:t xml:space="preserve">Syndrom </w:t>
            </w:r>
            <w:proofErr w:type="spellStart"/>
            <w:r>
              <w:t>Tourette’a</w:t>
            </w:r>
            <w:proofErr w:type="spellEnd"/>
          </w:p>
        </w:tc>
        <w:tc>
          <w:tcPr>
            <w:tcW w:w="2769" w:type="dxa"/>
          </w:tcPr>
          <w:p w14:paraId="6B3FD700"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Umiejętności obserwacyjne,</w:t>
            </w:r>
          </w:p>
          <w:p w14:paraId="0B27FA50"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kontrola poznawcza, kreatywność,</w:t>
            </w:r>
          </w:p>
          <w:p w14:paraId="17BA8457"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hiper-koncentracja, innowacyjne</w:t>
            </w:r>
          </w:p>
          <w:p w14:paraId="77EA6524" w14:textId="6973B6B3" w:rsidR="00EF7EB0" w:rsidRDefault="00EF7EB0" w:rsidP="00EF7EB0">
            <w:pPr>
              <w:cnfStyle w:val="000000010000" w:firstRow="0" w:lastRow="0" w:firstColumn="0" w:lastColumn="0" w:oddVBand="0" w:evenVBand="0" w:oddHBand="0" w:evenHBand="1" w:firstRowFirstColumn="0" w:firstRowLastColumn="0" w:lastRowFirstColumn="0" w:lastRowLastColumn="0"/>
            </w:pPr>
            <w:r>
              <w:t>myślenie</w:t>
            </w:r>
          </w:p>
        </w:tc>
        <w:tc>
          <w:tcPr>
            <w:tcW w:w="2769" w:type="dxa"/>
          </w:tcPr>
          <w:p w14:paraId="5A466C84" w14:textId="77777777" w:rsidR="00EF7EB0" w:rsidRDefault="00EF7EB0" w:rsidP="00EF7EB0">
            <w:pPr>
              <w:cnfStyle w:val="000000010000" w:firstRow="0" w:lastRow="0" w:firstColumn="0" w:lastColumn="0" w:oddVBand="0" w:evenVBand="0" w:oddHBand="0" w:evenHBand="1" w:firstRowFirstColumn="0" w:firstRowLastColumn="0" w:lastRowFirstColumn="0" w:lastRowLastColumn="0"/>
            </w:pPr>
            <w:r>
              <w:t>Tiki werbalne i fizyczne, słabe umiejętności</w:t>
            </w:r>
          </w:p>
          <w:p w14:paraId="76370D36" w14:textId="7A143B36" w:rsidR="00EF7EB0" w:rsidRDefault="00EF7EB0" w:rsidP="00EF7EB0">
            <w:pPr>
              <w:cnfStyle w:val="000000010000" w:firstRow="0" w:lastRow="0" w:firstColumn="0" w:lastColumn="0" w:oddVBand="0" w:evenVBand="0" w:oddHBand="0" w:evenHBand="1" w:firstRowFirstColumn="0" w:firstRowLastColumn="0" w:lastRowFirstColumn="0" w:lastRowLastColumn="0"/>
            </w:pPr>
            <w:r>
              <w:t>słuchania</w:t>
            </w:r>
          </w:p>
        </w:tc>
      </w:tr>
    </w:tbl>
    <w:p w14:paraId="3A71E26A" w14:textId="77777777" w:rsidR="00EF7EB0" w:rsidRDefault="00EF7EB0" w:rsidP="008400C8"/>
    <w:p w14:paraId="2A4A5DEE" w14:textId="51B245D2" w:rsidR="00EF7EB0" w:rsidRPr="00EF7EB0" w:rsidRDefault="00EF7EB0" w:rsidP="008400C8">
      <w:pPr>
        <w:rPr>
          <w:lang w:val="en-US"/>
        </w:rPr>
      </w:pPr>
      <w:proofErr w:type="spellStart"/>
      <w:r w:rsidRPr="00EF7EB0">
        <w:rPr>
          <w:lang w:val="en-US"/>
        </w:rPr>
        <w:t>Źródło</w:t>
      </w:r>
      <w:proofErr w:type="spellEnd"/>
      <w:r w:rsidRPr="00EF7EB0">
        <w:rPr>
          <w:lang w:val="en-US"/>
        </w:rPr>
        <w:t xml:space="preserve">: </w:t>
      </w:r>
      <w:proofErr w:type="spellStart"/>
      <w:r w:rsidRPr="00EF7EB0">
        <w:rPr>
          <w:lang w:val="en-US"/>
        </w:rPr>
        <w:t>opracowanie</w:t>
      </w:r>
      <w:proofErr w:type="spellEnd"/>
      <w:r w:rsidRPr="00EF7EB0">
        <w:rPr>
          <w:lang w:val="en-US"/>
        </w:rPr>
        <w:t xml:space="preserve"> </w:t>
      </w:r>
      <w:proofErr w:type="spellStart"/>
      <w:r w:rsidRPr="00EF7EB0">
        <w:rPr>
          <w:lang w:val="en-US"/>
        </w:rPr>
        <w:t>na</w:t>
      </w:r>
      <w:proofErr w:type="spellEnd"/>
      <w:r w:rsidRPr="00EF7EB0">
        <w:rPr>
          <w:lang w:val="en-US"/>
        </w:rPr>
        <w:t xml:space="preserve"> </w:t>
      </w:r>
      <w:proofErr w:type="spellStart"/>
      <w:r w:rsidRPr="00EF7EB0">
        <w:rPr>
          <w:lang w:val="en-US"/>
        </w:rPr>
        <w:t>podstawie</w:t>
      </w:r>
      <w:proofErr w:type="spellEnd"/>
      <w:r w:rsidRPr="00EF7EB0">
        <w:rPr>
          <w:lang w:val="en-US"/>
        </w:rPr>
        <w:t xml:space="preserve"> </w:t>
      </w:r>
      <w:proofErr w:type="spellStart"/>
      <w:r w:rsidRPr="00EF7EB0">
        <w:rPr>
          <w:lang w:val="en-US"/>
        </w:rPr>
        <w:t>Szulc</w:t>
      </w:r>
      <w:proofErr w:type="spellEnd"/>
      <w:r w:rsidRPr="00EF7EB0">
        <w:rPr>
          <w:lang w:val="en-US"/>
        </w:rPr>
        <w:t>, J.M., Davies, J., Tomczak, M.T. and McGregor, F.-L. (2021), "AMO perspectives on the well-being of neurodivergent human capital", Employee Relations, Vol. 43 No. 4, pp. 858-872.</w:t>
      </w:r>
    </w:p>
    <w:p w14:paraId="2BC706E2" w14:textId="39AD2BE5" w:rsidR="00EF7EB0" w:rsidRPr="00EF7EB0" w:rsidRDefault="00EF7EB0" w:rsidP="00EF7EB0">
      <w:pPr>
        <w:pStyle w:val="Nagwek1"/>
        <w:spacing w:before="600" w:after="800"/>
        <w:rPr>
          <w:sz w:val="52"/>
          <w:szCs w:val="52"/>
        </w:rPr>
      </w:pPr>
      <w:bookmarkStart w:id="6" w:name="_Toc154660467"/>
      <w:r w:rsidRPr="00EF7EB0">
        <w:rPr>
          <w:sz w:val="52"/>
          <w:szCs w:val="52"/>
        </w:rPr>
        <w:t>Podsumowanie</w:t>
      </w:r>
      <w:bookmarkEnd w:id="6"/>
    </w:p>
    <w:p w14:paraId="0B3E2C10" w14:textId="2FB95A5D" w:rsidR="001344D1" w:rsidRPr="001344D1" w:rsidRDefault="001344D1" w:rsidP="00EF7EB0">
      <w:r>
        <w:t>Jak widać</w:t>
      </w:r>
      <w:r w:rsidR="00EF7EB0" w:rsidRPr="00EF7EB0">
        <w:t>, nieneurotypowość prezentuje bogaty wachlarz doświadczeń i umiejętności, które, chociaż mogą wiązać się z</w:t>
      </w:r>
      <w:r>
        <w:t> </w:t>
      </w:r>
      <w:r w:rsidR="00EF7EB0" w:rsidRPr="00EF7EB0">
        <w:t xml:space="preserve">pewnymi wyzwaniami, oferują również niezwykłe możliwości. </w:t>
      </w:r>
      <w:r w:rsidR="00EF7EB0" w:rsidRPr="001344D1">
        <w:t>W</w:t>
      </w:r>
      <w:r>
        <w:t> </w:t>
      </w:r>
      <w:r w:rsidR="00EF7EB0" w:rsidRPr="001344D1">
        <w:t xml:space="preserve">świecie, gdzie różnorodność i innowacyjność są coraz bardziej cenione, osoby nieneurotypowe mogą wnosić bezcenne wkłady do miejsc pracy i społeczności. Kluczem do pełnego wykorzystania potencjału osób nieneurotypowych jest budowanie świadomości, wrażliwości i adaptacyjnych środowisk, które akceptują i wspierają </w:t>
      </w:r>
      <w:r w:rsidR="00EF7EB0" w:rsidRPr="001344D1">
        <w:lastRenderedPageBreak/>
        <w:t xml:space="preserve">różnorodność neurologiczną. W przyszłości, rozwój w zakresie rozumienia i integracji nieneurotypowości na pewno przyczyni się do bardziej zrównoważonego i </w:t>
      </w:r>
      <w:proofErr w:type="spellStart"/>
      <w:r w:rsidRPr="001344D1">
        <w:t>inkluzy</w:t>
      </w:r>
      <w:r>
        <w:t>w</w:t>
      </w:r>
      <w:r w:rsidRPr="001344D1">
        <w:t>nego</w:t>
      </w:r>
      <w:proofErr w:type="spellEnd"/>
      <w:r w:rsidR="00EF7EB0" w:rsidRPr="001344D1">
        <w:t xml:space="preserve"> społeczeństwa, w którym każdy ma szansę na rozwój i sukces, niezależnie od swoich neurologicznych cech. Znajomość i odpowiednie adresowanie zarówno potencjału, jak i wyzwań związanych z</w:t>
      </w:r>
      <w:r>
        <w:t> </w:t>
      </w:r>
      <w:r w:rsidR="00EF7EB0" w:rsidRPr="001344D1">
        <w:t>nieneurotypowością, pozwolą na bardziej efektywne zarządzanie zasobami ludzkimi, co w rezultacie przyniesie korzyści zarówno pracownikom, jak i organizacjom.</w:t>
      </w:r>
    </w:p>
    <w:p w14:paraId="7932DC11" w14:textId="77777777" w:rsidR="005C52F6" w:rsidRPr="001344D1" w:rsidRDefault="005C52F6" w:rsidP="000A6A69"/>
    <w:p w14:paraId="18BE6929" w14:textId="77777777" w:rsidR="005C52F6" w:rsidRPr="001344D1" w:rsidRDefault="005C52F6" w:rsidP="000A6A69"/>
    <w:sectPr w:rsidR="005C52F6" w:rsidRPr="001344D1" w:rsidSect="00E40FD5">
      <w:footerReference w:type="default" r:id="rId15"/>
      <w:headerReference w:type="first" r:id="rId16"/>
      <w:footerReference w:type="first" r:id="rId17"/>
      <w:pgSz w:w="11907" w:h="16839" w:code="9"/>
      <w:pgMar w:top="1440" w:right="1800" w:bottom="1440" w:left="1800" w:header="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509E" w14:textId="77777777" w:rsidR="00E40FD5" w:rsidRDefault="00E40FD5">
      <w:pPr>
        <w:spacing w:after="0" w:line="240" w:lineRule="auto"/>
      </w:pPr>
      <w:r>
        <w:separator/>
      </w:r>
    </w:p>
  </w:endnote>
  <w:endnote w:type="continuationSeparator" w:id="0">
    <w:p w14:paraId="6B46736F" w14:textId="77777777" w:rsidR="00E40FD5" w:rsidRDefault="00E4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6835235" w14:textId="77777777" w:rsidR="009E4642" w:rsidRDefault="00816F0E">
        <w:pPr>
          <w:pStyle w:val="Stopka"/>
        </w:pPr>
        <w:r>
          <w:fldChar w:fldCharType="begin"/>
        </w:r>
        <w:r>
          <w:instrText xml:space="preserve"> PAGE   \* MERGEFORMAT </w:instrText>
        </w:r>
        <w:r>
          <w:fldChar w:fldCharType="separate"/>
        </w:r>
        <w:r w:rsidR="002D47F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EB9" w14:textId="5ED75EDE" w:rsidR="00D355AE" w:rsidRDefault="00D355AE">
    <w:pPr>
      <w:pStyle w:val="Stopka"/>
    </w:pPr>
    <w:r w:rsidRPr="00D355AE">
      <w:rPr>
        <w:noProof/>
      </w:rPr>
      <w:drawing>
        <wp:anchor distT="0" distB="0" distL="114300" distR="114300" simplePos="0" relativeHeight="251661312" behindDoc="0" locked="0" layoutInCell="1" allowOverlap="1" wp14:anchorId="21051E0C" wp14:editId="605DF6D6">
          <wp:simplePos x="0" y="0"/>
          <wp:positionH relativeFrom="column">
            <wp:posOffset>4227830</wp:posOffset>
          </wp:positionH>
          <wp:positionV relativeFrom="paragraph">
            <wp:posOffset>-44450</wp:posOffset>
          </wp:positionV>
          <wp:extent cx="2023110" cy="652145"/>
          <wp:effectExtent l="0" t="0" r="0" b="0"/>
          <wp:wrapNone/>
          <wp:docPr id="8" name="Obraz 3">
            <a:extLst xmlns:a="http://schemas.openxmlformats.org/drawingml/2006/main">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3">
                    <a:extLst>
                      <a:ext uri="{FF2B5EF4-FFF2-40B4-BE49-F238E27FC236}">
                        <a16:creationId xmlns:a16="http://schemas.microsoft.com/office/drawing/2014/main" id="{B437C296-F9C8-A348-CF17-AAFE945040DA}"/>
                      </a:ex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202311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60288" behindDoc="0" locked="0" layoutInCell="1" allowOverlap="1" wp14:anchorId="7941201B" wp14:editId="6D8D4A08">
          <wp:simplePos x="0" y="0"/>
          <wp:positionH relativeFrom="column">
            <wp:posOffset>1554480</wp:posOffset>
          </wp:positionH>
          <wp:positionV relativeFrom="paragraph">
            <wp:posOffset>-37465</wp:posOffset>
          </wp:positionV>
          <wp:extent cx="2221230" cy="652145"/>
          <wp:effectExtent l="0" t="0" r="0" b="0"/>
          <wp:wrapNone/>
          <wp:docPr id="5" name="Obraz 2">
            <a:extLst xmlns:a="http://schemas.openxmlformats.org/drawingml/2006/main">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a:extLst>
                      <a:ext uri="{FF2B5EF4-FFF2-40B4-BE49-F238E27FC236}">
                        <a16:creationId xmlns:a16="http://schemas.microsoft.com/office/drawing/2014/main" id="{99BAED20-6842-B7DB-8E17-81F2C74AA230}"/>
                      </a:ext>
                      <a:ext uri="{C183D7F6-B498-43B3-948B-1728B52AA6E4}">
                        <adec:decorative xmlns:adec="http://schemas.microsoft.com/office/drawing/2017/decorative" val="1"/>
                      </a:ext>
                    </a:extLst>
                  </pic:cNvPr>
                  <pic:cNvPicPr>
                    <a:picLocks noChangeAspect="1" noChangeArrowheads="1"/>
                  </pic:cNvPicPr>
                </pic:nvPicPr>
                <pic:blipFill>
                  <a:blip r:embed="rId2" cstate="print"/>
                  <a:srcRect/>
                  <a:stretch>
                    <a:fillRect/>
                  </a:stretch>
                </pic:blipFill>
                <pic:spPr bwMode="auto">
                  <a:xfrm>
                    <a:off x="0" y="0"/>
                    <a:ext cx="2221230" cy="652145"/>
                  </a:xfrm>
                  <a:prstGeom prst="rect">
                    <a:avLst/>
                  </a:prstGeom>
                  <a:noFill/>
                </pic:spPr>
              </pic:pic>
            </a:graphicData>
          </a:graphic>
          <wp14:sizeRelH relativeFrom="margin">
            <wp14:pctWidth>0</wp14:pctWidth>
          </wp14:sizeRelH>
          <wp14:sizeRelV relativeFrom="margin">
            <wp14:pctHeight>0</wp14:pctHeight>
          </wp14:sizeRelV>
        </wp:anchor>
      </w:drawing>
    </w:r>
    <w:r w:rsidRPr="00D355AE">
      <w:rPr>
        <w:noProof/>
      </w:rPr>
      <w:drawing>
        <wp:anchor distT="0" distB="0" distL="114300" distR="114300" simplePos="0" relativeHeight="251659264" behindDoc="0" locked="0" layoutInCell="1" allowOverlap="1" wp14:anchorId="329628A6" wp14:editId="2263E678">
          <wp:simplePos x="0" y="0"/>
          <wp:positionH relativeFrom="column">
            <wp:posOffset>-989584</wp:posOffset>
          </wp:positionH>
          <wp:positionV relativeFrom="paragraph">
            <wp:posOffset>-44259</wp:posOffset>
          </wp:positionV>
          <wp:extent cx="1748162" cy="652229"/>
          <wp:effectExtent l="0" t="0" r="0" b="0"/>
          <wp:wrapNone/>
          <wp:docPr id="4" name="Obraz 1">
            <a:extLst xmlns:a="http://schemas.openxmlformats.org/drawingml/2006/main">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a:extLst>
                      <a:ext uri="{FF2B5EF4-FFF2-40B4-BE49-F238E27FC236}">
                        <a16:creationId xmlns:a16="http://schemas.microsoft.com/office/drawing/2014/main" id="{58FF6316-21DA-6864-73CE-50B30247D9A1}"/>
                      </a:ext>
                      <a:ext uri="{C183D7F6-B498-43B3-948B-1728B52AA6E4}">
                        <adec:decorative xmlns:adec="http://schemas.microsoft.com/office/drawing/2017/decorative" val="1"/>
                      </a:ext>
                    </a:extLst>
                  </pic:cNvPr>
                  <pic:cNvPicPr>
                    <a:picLocks noChangeAspect="1" noChangeArrowheads="1"/>
                  </pic:cNvPicPr>
                </pic:nvPicPr>
                <pic:blipFill>
                  <a:blip r:embed="rId3" cstate="print"/>
                  <a:srcRect/>
                  <a:stretch>
                    <a:fillRect/>
                  </a:stretch>
                </pic:blipFill>
                <pic:spPr bwMode="auto">
                  <a:xfrm>
                    <a:off x="0" y="0"/>
                    <a:ext cx="1748162" cy="652229"/>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09FD" w14:textId="77777777" w:rsidR="00E40FD5" w:rsidRDefault="00E40FD5">
      <w:pPr>
        <w:spacing w:after="0" w:line="240" w:lineRule="auto"/>
      </w:pPr>
      <w:r>
        <w:separator/>
      </w:r>
    </w:p>
  </w:footnote>
  <w:footnote w:type="continuationSeparator" w:id="0">
    <w:p w14:paraId="6CDABE88" w14:textId="77777777" w:rsidR="00E40FD5" w:rsidRDefault="00E4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3F0" w14:textId="2E309A0D" w:rsidR="00D355AE" w:rsidRDefault="008C1765" w:rsidP="00284055">
    <w:pPr>
      <w:pStyle w:val="Nagwek"/>
      <w:jc w:val="center"/>
    </w:pPr>
    <w:r w:rsidRPr="008C1765">
      <w:rPr>
        <w:noProof/>
      </w:rPr>
      <w:drawing>
        <wp:inline distT="0" distB="0" distL="0" distR="0" wp14:anchorId="3C4572F4" wp14:editId="1F551BEF">
          <wp:extent cx="5093091" cy="1242770"/>
          <wp:effectExtent l="0" t="0" r="0" b="1905"/>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873" cy="1261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072BB"/>
    <w:multiLevelType w:val="hybridMultilevel"/>
    <w:tmpl w:val="6CDA4470"/>
    <w:lvl w:ilvl="0" w:tplc="F1303F26">
      <w:start w:val="1"/>
      <w:numFmt w:val="bullet"/>
      <w:lvlText w:val="•"/>
      <w:lvlJc w:val="left"/>
      <w:pPr>
        <w:tabs>
          <w:tab w:val="num" w:pos="720"/>
        </w:tabs>
        <w:ind w:left="720" w:hanging="360"/>
      </w:pPr>
      <w:rPr>
        <w:rFonts w:ascii="Arial" w:hAnsi="Arial" w:hint="default"/>
      </w:rPr>
    </w:lvl>
    <w:lvl w:ilvl="1" w:tplc="1A4C2468" w:tentative="1">
      <w:start w:val="1"/>
      <w:numFmt w:val="bullet"/>
      <w:lvlText w:val="•"/>
      <w:lvlJc w:val="left"/>
      <w:pPr>
        <w:tabs>
          <w:tab w:val="num" w:pos="1440"/>
        </w:tabs>
        <w:ind w:left="1440" w:hanging="360"/>
      </w:pPr>
      <w:rPr>
        <w:rFonts w:ascii="Arial" w:hAnsi="Arial" w:hint="default"/>
      </w:rPr>
    </w:lvl>
    <w:lvl w:ilvl="2" w:tplc="18E09924" w:tentative="1">
      <w:start w:val="1"/>
      <w:numFmt w:val="bullet"/>
      <w:lvlText w:val="•"/>
      <w:lvlJc w:val="left"/>
      <w:pPr>
        <w:tabs>
          <w:tab w:val="num" w:pos="2160"/>
        </w:tabs>
        <w:ind w:left="2160" w:hanging="360"/>
      </w:pPr>
      <w:rPr>
        <w:rFonts w:ascii="Arial" w:hAnsi="Arial" w:hint="default"/>
      </w:rPr>
    </w:lvl>
    <w:lvl w:ilvl="3" w:tplc="753271EC" w:tentative="1">
      <w:start w:val="1"/>
      <w:numFmt w:val="bullet"/>
      <w:lvlText w:val="•"/>
      <w:lvlJc w:val="left"/>
      <w:pPr>
        <w:tabs>
          <w:tab w:val="num" w:pos="2880"/>
        </w:tabs>
        <w:ind w:left="2880" w:hanging="360"/>
      </w:pPr>
      <w:rPr>
        <w:rFonts w:ascii="Arial" w:hAnsi="Arial" w:hint="default"/>
      </w:rPr>
    </w:lvl>
    <w:lvl w:ilvl="4" w:tplc="CB760F78" w:tentative="1">
      <w:start w:val="1"/>
      <w:numFmt w:val="bullet"/>
      <w:lvlText w:val="•"/>
      <w:lvlJc w:val="left"/>
      <w:pPr>
        <w:tabs>
          <w:tab w:val="num" w:pos="3600"/>
        </w:tabs>
        <w:ind w:left="3600" w:hanging="360"/>
      </w:pPr>
      <w:rPr>
        <w:rFonts w:ascii="Arial" w:hAnsi="Arial" w:hint="default"/>
      </w:rPr>
    </w:lvl>
    <w:lvl w:ilvl="5" w:tplc="D7A4296E" w:tentative="1">
      <w:start w:val="1"/>
      <w:numFmt w:val="bullet"/>
      <w:lvlText w:val="•"/>
      <w:lvlJc w:val="left"/>
      <w:pPr>
        <w:tabs>
          <w:tab w:val="num" w:pos="4320"/>
        </w:tabs>
        <w:ind w:left="4320" w:hanging="360"/>
      </w:pPr>
      <w:rPr>
        <w:rFonts w:ascii="Arial" w:hAnsi="Arial" w:hint="default"/>
      </w:rPr>
    </w:lvl>
    <w:lvl w:ilvl="6" w:tplc="EB804FF4" w:tentative="1">
      <w:start w:val="1"/>
      <w:numFmt w:val="bullet"/>
      <w:lvlText w:val="•"/>
      <w:lvlJc w:val="left"/>
      <w:pPr>
        <w:tabs>
          <w:tab w:val="num" w:pos="5040"/>
        </w:tabs>
        <w:ind w:left="5040" w:hanging="360"/>
      </w:pPr>
      <w:rPr>
        <w:rFonts w:ascii="Arial" w:hAnsi="Arial" w:hint="default"/>
      </w:rPr>
    </w:lvl>
    <w:lvl w:ilvl="7" w:tplc="BEA42A5C" w:tentative="1">
      <w:start w:val="1"/>
      <w:numFmt w:val="bullet"/>
      <w:lvlText w:val="•"/>
      <w:lvlJc w:val="left"/>
      <w:pPr>
        <w:tabs>
          <w:tab w:val="num" w:pos="5760"/>
        </w:tabs>
        <w:ind w:left="5760" w:hanging="360"/>
      </w:pPr>
      <w:rPr>
        <w:rFonts w:ascii="Arial" w:hAnsi="Arial" w:hint="default"/>
      </w:rPr>
    </w:lvl>
    <w:lvl w:ilvl="8" w:tplc="7C9CF1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AE132B"/>
    <w:multiLevelType w:val="hybridMultilevel"/>
    <w:tmpl w:val="FF0639EA"/>
    <w:lvl w:ilvl="0" w:tplc="369ECFAA">
      <w:start w:val="1"/>
      <w:numFmt w:val="bullet"/>
      <w:lvlText w:val=""/>
      <w:lvlJc w:val="left"/>
      <w:pPr>
        <w:ind w:left="1080" w:hanging="360"/>
      </w:pPr>
      <w:rPr>
        <w:rFonts w:ascii="Symbol" w:hAnsi="Symbol" w:hint="default"/>
        <w:color w:val="F75952" w:themeColor="accent1"/>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3804354"/>
    <w:multiLevelType w:val="hybridMultilevel"/>
    <w:tmpl w:val="3794B618"/>
    <w:lvl w:ilvl="0" w:tplc="369ECFAA">
      <w:start w:val="1"/>
      <w:numFmt w:val="bullet"/>
      <w:lvlText w:val=""/>
      <w:lvlJc w:val="left"/>
      <w:pPr>
        <w:ind w:left="360" w:hanging="360"/>
      </w:pPr>
      <w:rPr>
        <w:rFonts w:ascii="Symbol" w:hAnsi="Symbol" w:hint="default"/>
        <w:color w:val="F75952" w:themeColor="accen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FB6AD80A"/>
    <w:lvl w:ilvl="0" w:tplc="7EEE0B26">
      <w:start w:val="1"/>
      <w:numFmt w:val="decimal"/>
      <w:pStyle w:val="Listanumerowana"/>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45D24"/>
    <w:multiLevelType w:val="hybridMultilevel"/>
    <w:tmpl w:val="E8E8C548"/>
    <w:lvl w:ilvl="0" w:tplc="E034C39E">
      <w:start w:val="1"/>
      <w:numFmt w:val="bullet"/>
      <w:lvlText w:val="•"/>
      <w:lvlJc w:val="left"/>
      <w:pPr>
        <w:tabs>
          <w:tab w:val="num" w:pos="720"/>
        </w:tabs>
        <w:ind w:left="720" w:hanging="360"/>
      </w:pPr>
      <w:rPr>
        <w:rFonts w:ascii="Arial" w:hAnsi="Arial" w:hint="default"/>
      </w:rPr>
    </w:lvl>
    <w:lvl w:ilvl="1" w:tplc="1772B47C">
      <w:numFmt w:val="bullet"/>
      <w:lvlText w:val="•"/>
      <w:lvlJc w:val="left"/>
      <w:pPr>
        <w:tabs>
          <w:tab w:val="num" w:pos="1440"/>
        </w:tabs>
        <w:ind w:left="1440" w:hanging="360"/>
      </w:pPr>
      <w:rPr>
        <w:rFonts w:ascii="Arial" w:hAnsi="Arial" w:hint="default"/>
      </w:rPr>
    </w:lvl>
    <w:lvl w:ilvl="2" w:tplc="72D4CF6A" w:tentative="1">
      <w:start w:val="1"/>
      <w:numFmt w:val="bullet"/>
      <w:lvlText w:val="•"/>
      <w:lvlJc w:val="left"/>
      <w:pPr>
        <w:tabs>
          <w:tab w:val="num" w:pos="2160"/>
        </w:tabs>
        <w:ind w:left="2160" w:hanging="360"/>
      </w:pPr>
      <w:rPr>
        <w:rFonts w:ascii="Arial" w:hAnsi="Arial" w:hint="default"/>
      </w:rPr>
    </w:lvl>
    <w:lvl w:ilvl="3" w:tplc="B8DC707E" w:tentative="1">
      <w:start w:val="1"/>
      <w:numFmt w:val="bullet"/>
      <w:lvlText w:val="•"/>
      <w:lvlJc w:val="left"/>
      <w:pPr>
        <w:tabs>
          <w:tab w:val="num" w:pos="2880"/>
        </w:tabs>
        <w:ind w:left="2880" w:hanging="360"/>
      </w:pPr>
      <w:rPr>
        <w:rFonts w:ascii="Arial" w:hAnsi="Arial" w:hint="default"/>
      </w:rPr>
    </w:lvl>
    <w:lvl w:ilvl="4" w:tplc="200A86DC" w:tentative="1">
      <w:start w:val="1"/>
      <w:numFmt w:val="bullet"/>
      <w:lvlText w:val="•"/>
      <w:lvlJc w:val="left"/>
      <w:pPr>
        <w:tabs>
          <w:tab w:val="num" w:pos="3600"/>
        </w:tabs>
        <w:ind w:left="3600" w:hanging="360"/>
      </w:pPr>
      <w:rPr>
        <w:rFonts w:ascii="Arial" w:hAnsi="Arial" w:hint="default"/>
      </w:rPr>
    </w:lvl>
    <w:lvl w:ilvl="5" w:tplc="0DF0EA9C" w:tentative="1">
      <w:start w:val="1"/>
      <w:numFmt w:val="bullet"/>
      <w:lvlText w:val="•"/>
      <w:lvlJc w:val="left"/>
      <w:pPr>
        <w:tabs>
          <w:tab w:val="num" w:pos="4320"/>
        </w:tabs>
        <w:ind w:left="4320" w:hanging="360"/>
      </w:pPr>
      <w:rPr>
        <w:rFonts w:ascii="Arial" w:hAnsi="Arial" w:hint="default"/>
      </w:rPr>
    </w:lvl>
    <w:lvl w:ilvl="6" w:tplc="291EAE5A" w:tentative="1">
      <w:start w:val="1"/>
      <w:numFmt w:val="bullet"/>
      <w:lvlText w:val="•"/>
      <w:lvlJc w:val="left"/>
      <w:pPr>
        <w:tabs>
          <w:tab w:val="num" w:pos="5040"/>
        </w:tabs>
        <w:ind w:left="5040" w:hanging="360"/>
      </w:pPr>
      <w:rPr>
        <w:rFonts w:ascii="Arial" w:hAnsi="Arial" w:hint="default"/>
      </w:rPr>
    </w:lvl>
    <w:lvl w:ilvl="7" w:tplc="423C4B4A" w:tentative="1">
      <w:start w:val="1"/>
      <w:numFmt w:val="bullet"/>
      <w:lvlText w:val="•"/>
      <w:lvlJc w:val="left"/>
      <w:pPr>
        <w:tabs>
          <w:tab w:val="num" w:pos="5760"/>
        </w:tabs>
        <w:ind w:left="5760" w:hanging="360"/>
      </w:pPr>
      <w:rPr>
        <w:rFonts w:ascii="Arial" w:hAnsi="Arial" w:hint="default"/>
      </w:rPr>
    </w:lvl>
    <w:lvl w:ilvl="8" w:tplc="A94EBF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74534A"/>
    <w:multiLevelType w:val="hybridMultilevel"/>
    <w:tmpl w:val="0CA20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734274"/>
    <w:multiLevelType w:val="hybridMultilevel"/>
    <w:tmpl w:val="28DC00DE"/>
    <w:lvl w:ilvl="0" w:tplc="08B453DE">
      <w:start w:val="1"/>
      <w:numFmt w:val="bullet"/>
      <w:pStyle w:val="Listapunktowana"/>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889846">
    <w:abstractNumId w:val="9"/>
  </w:num>
  <w:num w:numId="2" w16cid:durableId="841968185">
    <w:abstractNumId w:val="13"/>
  </w:num>
  <w:num w:numId="3" w16cid:durableId="1541821109">
    <w:abstractNumId w:val="13"/>
  </w:num>
  <w:num w:numId="4" w16cid:durableId="345835766">
    <w:abstractNumId w:val="13"/>
  </w:num>
  <w:num w:numId="5" w16cid:durableId="1497719792">
    <w:abstractNumId w:val="13"/>
  </w:num>
  <w:num w:numId="6" w16cid:durableId="1723867202">
    <w:abstractNumId w:val="8"/>
  </w:num>
  <w:num w:numId="7" w16cid:durableId="770393810">
    <w:abstractNumId w:val="17"/>
  </w:num>
  <w:num w:numId="8" w16cid:durableId="414329182">
    <w:abstractNumId w:val="7"/>
  </w:num>
  <w:num w:numId="9" w16cid:durableId="1422599415">
    <w:abstractNumId w:val="6"/>
  </w:num>
  <w:num w:numId="10" w16cid:durableId="1017000651">
    <w:abstractNumId w:val="5"/>
  </w:num>
  <w:num w:numId="11" w16cid:durableId="313339129">
    <w:abstractNumId w:val="4"/>
  </w:num>
  <w:num w:numId="12" w16cid:durableId="2122454483">
    <w:abstractNumId w:val="3"/>
  </w:num>
  <w:num w:numId="13" w16cid:durableId="468980742">
    <w:abstractNumId w:val="2"/>
  </w:num>
  <w:num w:numId="14" w16cid:durableId="159469307">
    <w:abstractNumId w:val="1"/>
  </w:num>
  <w:num w:numId="15" w16cid:durableId="703167829">
    <w:abstractNumId w:val="0"/>
  </w:num>
  <w:num w:numId="16" w16cid:durableId="889344446">
    <w:abstractNumId w:val="14"/>
  </w:num>
  <w:num w:numId="17" w16cid:durableId="834222573">
    <w:abstractNumId w:val="17"/>
  </w:num>
  <w:num w:numId="18" w16cid:durableId="726685999">
    <w:abstractNumId w:val="12"/>
  </w:num>
  <w:num w:numId="19" w16cid:durableId="276644214">
    <w:abstractNumId w:val="16"/>
  </w:num>
  <w:num w:numId="20" w16cid:durableId="2145460907">
    <w:abstractNumId w:val="17"/>
  </w:num>
  <w:num w:numId="21" w16cid:durableId="597758269">
    <w:abstractNumId w:val="17"/>
  </w:num>
  <w:num w:numId="22" w16cid:durableId="1857041394">
    <w:abstractNumId w:val="17"/>
  </w:num>
  <w:num w:numId="23" w16cid:durableId="1082871393">
    <w:abstractNumId w:val="17"/>
  </w:num>
  <w:num w:numId="24" w16cid:durableId="2014648638">
    <w:abstractNumId w:val="17"/>
  </w:num>
  <w:num w:numId="25" w16cid:durableId="17199636">
    <w:abstractNumId w:val="15"/>
  </w:num>
  <w:num w:numId="26" w16cid:durableId="471097370">
    <w:abstractNumId w:val="10"/>
  </w:num>
  <w:num w:numId="27" w16cid:durableId="15023487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F"/>
    <w:rsid w:val="0003415A"/>
    <w:rsid w:val="000834BA"/>
    <w:rsid w:val="00094595"/>
    <w:rsid w:val="000A6A69"/>
    <w:rsid w:val="000B4BB8"/>
    <w:rsid w:val="000E18E0"/>
    <w:rsid w:val="000E35E6"/>
    <w:rsid w:val="001157CF"/>
    <w:rsid w:val="001344D1"/>
    <w:rsid w:val="001668A8"/>
    <w:rsid w:val="00172FC9"/>
    <w:rsid w:val="00182D68"/>
    <w:rsid w:val="001979D7"/>
    <w:rsid w:val="001A3B9A"/>
    <w:rsid w:val="002129F2"/>
    <w:rsid w:val="002321D9"/>
    <w:rsid w:val="00284055"/>
    <w:rsid w:val="002D4712"/>
    <w:rsid w:val="002D47F0"/>
    <w:rsid w:val="00313D15"/>
    <w:rsid w:val="003F157D"/>
    <w:rsid w:val="00440C7E"/>
    <w:rsid w:val="004441A3"/>
    <w:rsid w:val="00481CFA"/>
    <w:rsid w:val="004C4DE5"/>
    <w:rsid w:val="004C7724"/>
    <w:rsid w:val="004D64AB"/>
    <w:rsid w:val="00513676"/>
    <w:rsid w:val="00535A33"/>
    <w:rsid w:val="00542D75"/>
    <w:rsid w:val="00577B7F"/>
    <w:rsid w:val="00584B01"/>
    <w:rsid w:val="005B455C"/>
    <w:rsid w:val="005C52F6"/>
    <w:rsid w:val="00692D1F"/>
    <w:rsid w:val="006A46BF"/>
    <w:rsid w:val="006C133E"/>
    <w:rsid w:val="0081596C"/>
    <w:rsid w:val="00816F0E"/>
    <w:rsid w:val="0082074F"/>
    <w:rsid w:val="008400C8"/>
    <w:rsid w:val="008B27C2"/>
    <w:rsid w:val="008C1765"/>
    <w:rsid w:val="008C1B24"/>
    <w:rsid w:val="008C2C4F"/>
    <w:rsid w:val="009415E9"/>
    <w:rsid w:val="00956B77"/>
    <w:rsid w:val="00961273"/>
    <w:rsid w:val="00976199"/>
    <w:rsid w:val="00995B30"/>
    <w:rsid w:val="009D47CA"/>
    <w:rsid w:val="009E4642"/>
    <w:rsid w:val="009F159B"/>
    <w:rsid w:val="00A53779"/>
    <w:rsid w:val="00AE233F"/>
    <w:rsid w:val="00AF3720"/>
    <w:rsid w:val="00B42DD6"/>
    <w:rsid w:val="00B67462"/>
    <w:rsid w:val="00B7337D"/>
    <w:rsid w:val="00B832D7"/>
    <w:rsid w:val="00BE0F14"/>
    <w:rsid w:val="00D13AD7"/>
    <w:rsid w:val="00D355AE"/>
    <w:rsid w:val="00D86129"/>
    <w:rsid w:val="00DB3119"/>
    <w:rsid w:val="00DE33B7"/>
    <w:rsid w:val="00DE4A7C"/>
    <w:rsid w:val="00DE5E78"/>
    <w:rsid w:val="00E40FD5"/>
    <w:rsid w:val="00E85059"/>
    <w:rsid w:val="00E9361F"/>
    <w:rsid w:val="00E94551"/>
    <w:rsid w:val="00EC10E2"/>
    <w:rsid w:val="00EF7EB0"/>
    <w:rsid w:val="00FD5C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4240"/>
  <w15:chartTrackingRefBased/>
  <w15:docId w15:val="{C9E8D8CF-DA64-C542-AC8A-FE9D86A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5F5F5F" w:themeColor="text2" w:themeTint="BF"/>
        <w:sz w:val="24"/>
        <w:szCs w:val="24"/>
        <w:lang w:val="pl-PL" w:eastAsia="ja-JP" w:bidi="pl-P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F0E"/>
  </w:style>
  <w:style w:type="paragraph" w:styleId="Nagwek1">
    <w:name w:val="heading 1"/>
    <w:basedOn w:val="Normalny"/>
    <w:next w:val="Normalny"/>
    <w:link w:val="Nagwek1Znak"/>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Nagwek2">
    <w:name w:val="heading 2"/>
    <w:basedOn w:val="Normalny"/>
    <w:next w:val="Normalny"/>
    <w:link w:val="Nagwek2Znak"/>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Nagwek3">
    <w:name w:val="heading 3"/>
    <w:basedOn w:val="Normalny"/>
    <w:next w:val="Normalny"/>
    <w:link w:val="Nagwek3Znak"/>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Nagwek4">
    <w:name w:val="heading 4"/>
    <w:basedOn w:val="Normalny"/>
    <w:next w:val="Normalny"/>
    <w:link w:val="Nagwek4Znak"/>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Nagwek5">
    <w:name w:val="heading 5"/>
    <w:basedOn w:val="Normalny"/>
    <w:next w:val="Normalny"/>
    <w:link w:val="Nagwek5Znak"/>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Nagwek6">
    <w:name w:val="heading 6"/>
    <w:basedOn w:val="Normalny"/>
    <w:next w:val="Normalny"/>
    <w:link w:val="Nagwek6Znak"/>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Nagwek7">
    <w:name w:val="heading 7"/>
    <w:basedOn w:val="Normalny"/>
    <w:next w:val="Normalny"/>
    <w:link w:val="Nagwek7Znak"/>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Nagwek8">
    <w:name w:val="heading 8"/>
    <w:basedOn w:val="Normalny"/>
    <w:next w:val="Normalny"/>
    <w:link w:val="Nagwek8Znak"/>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Nagwek9">
    <w:name w:val="heading 9"/>
    <w:basedOn w:val="Normalny"/>
    <w:next w:val="Normalny"/>
    <w:link w:val="Nagwek9Znak"/>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caps/>
      <w:color w:val="2A2A2A" w:themeColor="text2"/>
      <w:sz w:val="90"/>
      <w:szCs w:val="32"/>
    </w:rPr>
  </w:style>
  <w:style w:type="character" w:customStyle="1" w:styleId="Nagwek2Znak">
    <w:name w:val="Nagłówek 2 Znak"/>
    <w:basedOn w:val="Domylnaczcionkaakapitu"/>
    <w:link w:val="Nagwek2"/>
    <w:uiPriority w:val="9"/>
    <w:rPr>
      <w:rFonts w:asciiTheme="majorHAnsi" w:hAnsiTheme="majorHAnsi" w:cstheme="majorBidi"/>
      <w:b/>
      <w:caps/>
      <w:color w:val="2A2A2A" w:themeColor="text2"/>
      <w:sz w:val="28"/>
      <w:szCs w:val="26"/>
    </w:rPr>
  </w:style>
  <w:style w:type="paragraph" w:styleId="Listapunktowana">
    <w:name w:val="List Bullet"/>
    <w:basedOn w:val="Normalny"/>
    <w:uiPriority w:val="12"/>
    <w:qFormat/>
    <w:pPr>
      <w:numPr>
        <w:numId w:val="7"/>
      </w:numPr>
      <w:spacing w:after="160"/>
    </w:pPr>
    <w:rPr>
      <w:i/>
      <w:szCs w:val="20"/>
    </w:rPr>
  </w:style>
  <w:style w:type="character" w:styleId="Tekstzastpczy">
    <w:name w:val="Placeholder Text"/>
    <w:basedOn w:val="Domylnaczcionkaakapitu"/>
    <w:uiPriority w:val="99"/>
    <w:semiHidden/>
    <w:rPr>
      <w:color w:val="808080"/>
    </w:rPr>
  </w:style>
  <w:style w:type="paragraph" w:styleId="Cytat">
    <w:name w:val="Quote"/>
    <w:basedOn w:val="Normalny"/>
    <w:next w:val="Normalny"/>
    <w:link w:val="CytatZnak"/>
    <w:uiPriority w:val="10"/>
    <w:qFormat/>
    <w:pPr>
      <w:spacing w:before="320" w:after="320" w:line="264" w:lineRule="auto"/>
      <w:contextualSpacing/>
    </w:pPr>
    <w:rPr>
      <w:b/>
      <w:iCs/>
      <w:color w:val="F75952" w:themeColor="accent1"/>
      <w:sz w:val="54"/>
    </w:rPr>
  </w:style>
  <w:style w:type="character" w:customStyle="1" w:styleId="CytatZnak">
    <w:name w:val="Cytat Znak"/>
    <w:basedOn w:val="Domylnaczcionkaakapitu"/>
    <w:link w:val="Cytat"/>
    <w:uiPriority w:val="10"/>
    <w:rPr>
      <w:b/>
      <w:iCs/>
      <w:color w:val="F75952" w:themeColor="accent1"/>
      <w:sz w:val="54"/>
    </w:r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color w:val="F75952" w:themeColor="accent1"/>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i/>
      <w:iCs/>
      <w:color w:val="2A2A2A" w:themeColor="text2"/>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b/>
      <w:i/>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b/>
      <w:caps/>
      <w:color w:val="2A2A2A" w:themeColor="text2"/>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b/>
      <w:iCs/>
      <w:color w:val="F75952" w:themeColor="accent1"/>
      <w:sz w:val="20"/>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b/>
      <w:i/>
      <w:color w:val="2A2A2A" w:themeColor="text2"/>
      <w:sz w:val="20"/>
      <w:szCs w:val="21"/>
    </w:rPr>
  </w:style>
  <w:style w:type="paragraph" w:styleId="Indeks3">
    <w:name w:val="index 3"/>
    <w:basedOn w:val="Normalny"/>
    <w:next w:val="Normalny"/>
    <w:autoRedefine/>
    <w:uiPriority w:val="99"/>
    <w:semiHidden/>
    <w:unhideWhenUsed/>
    <w:pPr>
      <w:spacing w:before="317" w:after="317" w:line="240" w:lineRule="auto"/>
      <w:ind w:left="720" w:hanging="245"/>
      <w:contextualSpacing/>
    </w:pPr>
    <w:rPr>
      <w:b/>
      <w:color w:val="F75952" w:themeColor="accent1"/>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b/>
      <w:i/>
      <w:iCs/>
      <w:sz w:val="20"/>
      <w:szCs w:val="21"/>
    </w:rPr>
  </w:style>
  <w:style w:type="character" w:styleId="Uwydatnienie">
    <w:name w:val="Emphasis"/>
    <w:basedOn w:val="Domylnaczcionkaakapitu"/>
    <w:uiPriority w:val="10"/>
    <w:qFormat/>
    <w:rPr>
      <w:b w:val="0"/>
      <w:i w:val="0"/>
      <w:iCs/>
      <w:color w:val="F75952" w:themeColor="accent1"/>
    </w:rPr>
  </w:style>
  <w:style w:type="paragraph" w:styleId="Cytatintensywny">
    <w:name w:val="Intense Quote"/>
    <w:basedOn w:val="Normalny"/>
    <w:next w:val="Normalny"/>
    <w:link w:val="CytatintensywnyZnak"/>
    <w:uiPriority w:val="30"/>
    <w:semiHidden/>
    <w:unhideWhenUsed/>
    <w:qFormat/>
    <w:pPr>
      <w:spacing w:before="320" w:after="320" w:line="264" w:lineRule="auto"/>
      <w:contextualSpacing/>
    </w:pPr>
    <w:rPr>
      <w:b/>
      <w:i/>
      <w:iCs/>
      <w:color w:val="F75952" w:themeColor="accent1"/>
      <w:sz w:val="54"/>
    </w:rPr>
  </w:style>
  <w:style w:type="character" w:customStyle="1" w:styleId="CytatintensywnyZnak">
    <w:name w:val="Cytat intensywny Znak"/>
    <w:basedOn w:val="Domylnaczcionkaakapitu"/>
    <w:link w:val="Cytatintensywny"/>
    <w:uiPriority w:val="30"/>
    <w:semiHidden/>
    <w:rPr>
      <w:b/>
      <w:i/>
      <w:iCs/>
      <w:color w:val="F75952" w:themeColor="accent1"/>
      <w:sz w:val="54"/>
    </w:rPr>
  </w:style>
  <w:style w:type="paragraph" w:styleId="Akapitzlist">
    <w:name w:val="List Paragraph"/>
    <w:basedOn w:val="Normalny"/>
    <w:uiPriority w:val="34"/>
    <w:unhideWhenUsed/>
    <w:qFormat/>
    <w:pPr>
      <w:contextualSpacing/>
    </w:pPr>
    <w:rPr>
      <w:i/>
    </w:rPr>
  </w:style>
  <w:style w:type="paragraph" w:styleId="Legenda">
    <w:name w:val="caption"/>
    <w:basedOn w:val="Normalny"/>
    <w:next w:val="Normalny"/>
    <w:uiPriority w:val="35"/>
    <w:semiHidden/>
    <w:unhideWhenUsed/>
    <w:qFormat/>
    <w:pPr>
      <w:spacing w:line="240" w:lineRule="auto"/>
    </w:pPr>
    <w:rPr>
      <w:i/>
      <w:iCs/>
      <w:sz w:val="20"/>
      <w:szCs w:val="18"/>
    </w:rPr>
  </w:style>
  <w:style w:type="paragraph" w:styleId="Nagwekspisutreci">
    <w:name w:val="TOC Heading"/>
    <w:basedOn w:val="Nagwek1"/>
    <w:next w:val="Normalny"/>
    <w:uiPriority w:val="39"/>
    <w:qFormat/>
    <w:pPr>
      <w:spacing w:after="1320"/>
      <w:outlineLvl w:val="9"/>
    </w:pPr>
  </w:style>
  <w:style w:type="paragraph" w:styleId="Stopka">
    <w:name w:val="footer"/>
    <w:basedOn w:val="Normalny"/>
    <w:link w:val="StopkaZnak"/>
    <w:uiPriority w:val="99"/>
    <w:unhideWhenUsed/>
    <w:qFormat/>
    <w:pPr>
      <w:spacing w:after="0" w:line="240" w:lineRule="auto"/>
    </w:pPr>
    <w:rPr>
      <w:b/>
      <w:color w:val="F75952" w:themeColor="accent1"/>
      <w:sz w:val="38"/>
      <w:szCs w:val="38"/>
    </w:rPr>
  </w:style>
  <w:style w:type="character" w:customStyle="1" w:styleId="StopkaZnak">
    <w:name w:val="Stopka Znak"/>
    <w:basedOn w:val="Domylnaczcionkaakapitu"/>
    <w:link w:val="Stopka"/>
    <w:uiPriority w:val="99"/>
    <w:rPr>
      <w:b/>
      <w:color w:val="F75952" w:themeColor="accent1"/>
      <w:sz w:val="38"/>
      <w:szCs w:val="38"/>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Wyrnienieintensywne">
    <w:name w:val="Intense Emphasis"/>
    <w:basedOn w:val="Domylnaczcionkaakapitu"/>
    <w:uiPriority w:val="21"/>
    <w:semiHidden/>
    <w:unhideWhenUsed/>
    <w:qFormat/>
    <w:rPr>
      <w:b/>
      <w:i/>
      <w:iCs/>
      <w:caps/>
      <w:smallCaps w:val="0"/>
      <w:color w:val="F75952" w:themeColor="accent1"/>
    </w:rPr>
  </w:style>
  <w:style w:type="character" w:styleId="Odwoanieintensywne">
    <w:name w:val="Intense Reference"/>
    <w:basedOn w:val="Domylnaczcionkaakapitu"/>
    <w:uiPriority w:val="32"/>
    <w:semiHidden/>
    <w:unhideWhenUsed/>
    <w:qFormat/>
    <w:rPr>
      <w:b/>
      <w:bCs/>
      <w:caps/>
      <w:smallCaps w:val="0"/>
      <w:color w:val="3E3E3E" w:themeColor="text2" w:themeTint="E6"/>
      <w:spacing w:val="0"/>
    </w:rPr>
  </w:style>
  <w:style w:type="character" w:styleId="Pogrubienie">
    <w:name w:val="Strong"/>
    <w:basedOn w:val="Domylnaczcionkaakapitu"/>
    <w:uiPriority w:val="8"/>
    <w:semiHidden/>
    <w:unhideWhenUsed/>
    <w:qFormat/>
    <w:rPr>
      <w:b/>
      <w:bCs/>
      <w:color w:val="3E3E3E" w:themeColor="text2" w:themeTint="E6"/>
    </w:rPr>
  </w:style>
  <w:style w:type="character" w:styleId="Wyrnieniedelikatne">
    <w:name w:val="Subtle Emphasis"/>
    <w:basedOn w:val="Domylnaczcionkaakapitu"/>
    <w:uiPriority w:val="19"/>
    <w:semiHidden/>
    <w:unhideWhenUsed/>
    <w:qFormat/>
    <w:rPr>
      <w:i/>
      <w:iCs/>
      <w:color w:val="5F5F5F" w:themeColor="text2" w:themeTint="BF"/>
    </w:rPr>
  </w:style>
  <w:style w:type="character" w:styleId="Odwoaniedelikatne">
    <w:name w:val="Subtle Reference"/>
    <w:basedOn w:val="Domylnaczcionkaakapitu"/>
    <w:uiPriority w:val="31"/>
    <w:semiHidden/>
    <w:unhideWhenUsed/>
    <w:qFormat/>
    <w:rPr>
      <w:caps/>
      <w:smallCaps w:val="0"/>
      <w:color w:val="5F5F5F" w:themeColor="text2" w:themeTint="BF"/>
    </w:rPr>
  </w:style>
  <w:style w:type="character" w:styleId="Tytuksiki">
    <w:name w:val="Book Title"/>
    <w:basedOn w:val="Domylnaczcionkaakapitu"/>
    <w:uiPriority w:val="33"/>
    <w:semiHidden/>
    <w:unhideWhenUsed/>
    <w:qFormat/>
    <w:rPr>
      <w:b w:val="0"/>
      <w:bCs/>
      <w:i/>
      <w:iCs/>
      <w:color w:val="3E3E3E" w:themeColor="text2" w:themeTint="E6"/>
      <w:spacing w:val="0"/>
    </w:rPr>
  </w:style>
  <w:style w:type="paragraph" w:styleId="Tytu">
    <w:name w:val="Title"/>
    <w:basedOn w:val="Normalny"/>
    <w:next w:val="Podtytu"/>
    <w:link w:val="TytuZnak"/>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ytuZnak">
    <w:name w:val="Tytuł Znak"/>
    <w:basedOn w:val="Domylnaczcionkaakapitu"/>
    <w:link w:val="Tytu"/>
    <w:uiPriority w:val="1"/>
    <w:rPr>
      <w:rFonts w:asciiTheme="majorHAnsi" w:eastAsiaTheme="majorEastAsia" w:hAnsiTheme="majorHAnsi" w:cstheme="majorBidi"/>
      <w:b/>
      <w:caps/>
      <w:color w:val="2A2A2A" w:themeColor="text2"/>
      <w:kern w:val="28"/>
      <w:sz w:val="100"/>
      <w:szCs w:val="56"/>
    </w:rPr>
  </w:style>
  <w:style w:type="paragraph" w:styleId="Podtytu">
    <w:name w:val="Subtitle"/>
    <w:basedOn w:val="Normalny"/>
    <w:next w:val="Autor"/>
    <w:link w:val="PodtytuZnak"/>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PodtytuZnak">
    <w:name w:val="Podtytuł Znak"/>
    <w:basedOn w:val="Domylnaczcionkaakapitu"/>
    <w:link w:val="Podtytu"/>
    <w:uiPriority w:val="2"/>
    <w:rPr>
      <w:rFonts w:asciiTheme="majorHAnsi" w:eastAsiaTheme="minorEastAsia" w:hAnsiTheme="majorHAnsi"/>
      <w:b/>
      <w:color w:val="F75952" w:themeColor="accent1"/>
      <w:sz w:val="50"/>
      <w:szCs w:val="22"/>
    </w:rPr>
  </w:style>
  <w:style w:type="paragraph" w:styleId="Spistreci1">
    <w:name w:val="toc 1"/>
    <w:basedOn w:val="Normalny"/>
    <w:next w:val="Normalny"/>
    <w:autoRedefine/>
    <w:uiPriority w:val="39"/>
    <w:unhideWhenUsed/>
    <w:qFormat/>
    <w:pPr>
      <w:spacing w:before="120" w:after="0"/>
    </w:pPr>
    <w:rPr>
      <w:b/>
      <w:bCs/>
      <w:i/>
      <w:iCs/>
    </w:rPr>
  </w:style>
  <w:style w:type="paragraph" w:styleId="Spistreci2">
    <w:name w:val="toc 2"/>
    <w:basedOn w:val="Normalny"/>
    <w:next w:val="Normalny"/>
    <w:autoRedefine/>
    <w:uiPriority w:val="39"/>
    <w:unhideWhenUsed/>
    <w:qFormat/>
    <w:pPr>
      <w:spacing w:before="120" w:after="0"/>
      <w:ind w:left="240"/>
    </w:pPr>
    <w:rPr>
      <w:b/>
      <w:bCs/>
      <w:sz w:val="22"/>
      <w:szCs w:val="22"/>
    </w:rPr>
  </w:style>
  <w:style w:type="table" w:customStyle="1" w:styleId="Generaltable">
    <w:name w:val="General table"/>
    <w:basedOn w:val="Standardowy"/>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or">
    <w:name w:val="Autor"/>
    <w:basedOn w:val="Normalny"/>
    <w:uiPriority w:val="3"/>
    <w:qFormat/>
    <w:pPr>
      <w:spacing w:after="0"/>
    </w:pPr>
    <w:rPr>
      <w:b/>
      <w:color w:val="2A2A2A" w:themeColor="text2"/>
      <w:sz w:val="30"/>
    </w:rPr>
  </w:style>
  <w:style w:type="paragraph" w:styleId="Nagwek">
    <w:name w:val="header"/>
    <w:basedOn w:val="Normalny"/>
    <w:link w:val="NagwekZnak"/>
    <w:uiPriority w:val="99"/>
    <w:unhideWhenUsed/>
    <w:qFormat/>
    <w:pPr>
      <w:spacing w:after="0" w:line="240" w:lineRule="auto"/>
    </w:pPr>
  </w:style>
  <w:style w:type="character" w:customStyle="1" w:styleId="NagwekZnak">
    <w:name w:val="Nagłówek Znak"/>
    <w:basedOn w:val="Domylnaczcionkaakapitu"/>
    <w:link w:val="Nagwek"/>
    <w:uiPriority w:val="99"/>
  </w:style>
  <w:style w:type="paragraph" w:styleId="Listanumerowana">
    <w:name w:val="List Number"/>
    <w:basedOn w:val="Normalny"/>
    <w:uiPriority w:val="13"/>
    <w:qFormat/>
    <w:pPr>
      <w:numPr>
        <w:numId w:val="16"/>
      </w:numPr>
    </w:pPr>
    <w:rPr>
      <w:i/>
    </w:rPr>
  </w:style>
  <w:style w:type="character" w:styleId="Hipercze">
    <w:name w:val="Hyperlink"/>
    <w:basedOn w:val="Domylnaczcionkaakapitu"/>
    <w:uiPriority w:val="99"/>
    <w:unhideWhenUsed/>
    <w:rsid w:val="00B832D7"/>
    <w:rPr>
      <w:color w:val="B67AC3" w:themeColor="hyperlink"/>
      <w:u w:val="single"/>
    </w:rPr>
  </w:style>
  <w:style w:type="character" w:styleId="Nierozpoznanawzmianka">
    <w:name w:val="Unresolved Mention"/>
    <w:basedOn w:val="Domylnaczcionkaakapitu"/>
    <w:uiPriority w:val="99"/>
    <w:semiHidden/>
    <w:unhideWhenUsed/>
    <w:rsid w:val="00B832D7"/>
    <w:rPr>
      <w:color w:val="605E5C"/>
      <w:shd w:val="clear" w:color="auto" w:fill="E1DFDD"/>
    </w:rPr>
  </w:style>
  <w:style w:type="paragraph" w:styleId="Poprawka">
    <w:name w:val="Revision"/>
    <w:hidden/>
    <w:uiPriority w:val="99"/>
    <w:semiHidden/>
    <w:rsid w:val="000B4BB8"/>
    <w:pPr>
      <w:spacing w:after="0" w:line="240" w:lineRule="auto"/>
    </w:pPr>
  </w:style>
  <w:style w:type="paragraph" w:styleId="Spistreci3">
    <w:name w:val="toc 3"/>
    <w:basedOn w:val="Normalny"/>
    <w:next w:val="Normalny"/>
    <w:autoRedefine/>
    <w:uiPriority w:val="39"/>
    <w:semiHidden/>
    <w:unhideWhenUsed/>
    <w:rsid w:val="00AF3720"/>
    <w:pPr>
      <w:spacing w:after="0"/>
      <w:ind w:left="480"/>
    </w:pPr>
    <w:rPr>
      <w:sz w:val="20"/>
      <w:szCs w:val="20"/>
    </w:rPr>
  </w:style>
  <w:style w:type="paragraph" w:styleId="Spistreci4">
    <w:name w:val="toc 4"/>
    <w:basedOn w:val="Normalny"/>
    <w:next w:val="Normalny"/>
    <w:autoRedefine/>
    <w:uiPriority w:val="39"/>
    <w:semiHidden/>
    <w:unhideWhenUsed/>
    <w:rsid w:val="00AF3720"/>
    <w:pPr>
      <w:spacing w:after="0"/>
      <w:ind w:left="720"/>
    </w:pPr>
    <w:rPr>
      <w:sz w:val="20"/>
      <w:szCs w:val="20"/>
    </w:rPr>
  </w:style>
  <w:style w:type="paragraph" w:styleId="Spistreci5">
    <w:name w:val="toc 5"/>
    <w:basedOn w:val="Normalny"/>
    <w:next w:val="Normalny"/>
    <w:autoRedefine/>
    <w:uiPriority w:val="39"/>
    <w:semiHidden/>
    <w:unhideWhenUsed/>
    <w:rsid w:val="00AF3720"/>
    <w:pPr>
      <w:spacing w:after="0"/>
      <w:ind w:left="960"/>
    </w:pPr>
    <w:rPr>
      <w:sz w:val="20"/>
      <w:szCs w:val="20"/>
    </w:rPr>
  </w:style>
  <w:style w:type="paragraph" w:styleId="Spistreci6">
    <w:name w:val="toc 6"/>
    <w:basedOn w:val="Normalny"/>
    <w:next w:val="Normalny"/>
    <w:autoRedefine/>
    <w:uiPriority w:val="39"/>
    <w:semiHidden/>
    <w:unhideWhenUsed/>
    <w:rsid w:val="00AF3720"/>
    <w:pPr>
      <w:spacing w:after="0"/>
      <w:ind w:left="1200"/>
    </w:pPr>
    <w:rPr>
      <w:sz w:val="20"/>
      <w:szCs w:val="20"/>
    </w:rPr>
  </w:style>
  <w:style w:type="paragraph" w:styleId="Spistreci7">
    <w:name w:val="toc 7"/>
    <w:basedOn w:val="Normalny"/>
    <w:next w:val="Normalny"/>
    <w:autoRedefine/>
    <w:uiPriority w:val="39"/>
    <w:semiHidden/>
    <w:unhideWhenUsed/>
    <w:rsid w:val="00AF3720"/>
    <w:pPr>
      <w:spacing w:after="0"/>
      <w:ind w:left="1440"/>
    </w:pPr>
    <w:rPr>
      <w:sz w:val="20"/>
      <w:szCs w:val="20"/>
    </w:rPr>
  </w:style>
  <w:style w:type="paragraph" w:styleId="Spistreci8">
    <w:name w:val="toc 8"/>
    <w:basedOn w:val="Normalny"/>
    <w:next w:val="Normalny"/>
    <w:autoRedefine/>
    <w:uiPriority w:val="39"/>
    <w:semiHidden/>
    <w:unhideWhenUsed/>
    <w:rsid w:val="00AF3720"/>
    <w:pPr>
      <w:spacing w:after="0"/>
      <w:ind w:left="1680"/>
    </w:pPr>
    <w:rPr>
      <w:sz w:val="20"/>
      <w:szCs w:val="20"/>
    </w:rPr>
  </w:style>
  <w:style w:type="paragraph" w:styleId="Spistreci9">
    <w:name w:val="toc 9"/>
    <w:basedOn w:val="Normalny"/>
    <w:next w:val="Normalny"/>
    <w:autoRedefine/>
    <w:uiPriority w:val="39"/>
    <w:semiHidden/>
    <w:unhideWhenUsed/>
    <w:rsid w:val="00AF3720"/>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45">
      <w:bodyDiv w:val="1"/>
      <w:marLeft w:val="0"/>
      <w:marRight w:val="0"/>
      <w:marTop w:val="0"/>
      <w:marBottom w:val="0"/>
      <w:divBdr>
        <w:top w:val="none" w:sz="0" w:space="0" w:color="auto"/>
        <w:left w:val="none" w:sz="0" w:space="0" w:color="auto"/>
        <w:bottom w:val="none" w:sz="0" w:space="0" w:color="auto"/>
        <w:right w:val="none" w:sz="0" w:space="0" w:color="auto"/>
      </w:divBdr>
      <w:divsChild>
        <w:div w:id="294338088">
          <w:marLeft w:val="461"/>
          <w:marRight w:val="0"/>
          <w:marTop w:val="145"/>
          <w:marBottom w:val="0"/>
          <w:divBdr>
            <w:top w:val="none" w:sz="0" w:space="0" w:color="auto"/>
            <w:left w:val="none" w:sz="0" w:space="0" w:color="auto"/>
            <w:bottom w:val="none" w:sz="0" w:space="0" w:color="auto"/>
            <w:right w:val="none" w:sz="0" w:space="0" w:color="auto"/>
          </w:divBdr>
        </w:div>
        <w:div w:id="939289467">
          <w:marLeft w:val="461"/>
          <w:marRight w:val="0"/>
          <w:marTop w:val="145"/>
          <w:marBottom w:val="0"/>
          <w:divBdr>
            <w:top w:val="none" w:sz="0" w:space="0" w:color="auto"/>
            <w:left w:val="none" w:sz="0" w:space="0" w:color="auto"/>
            <w:bottom w:val="none" w:sz="0" w:space="0" w:color="auto"/>
            <w:right w:val="none" w:sz="0" w:space="0" w:color="auto"/>
          </w:divBdr>
        </w:div>
      </w:divsChild>
    </w:div>
    <w:div w:id="642007987">
      <w:bodyDiv w:val="1"/>
      <w:marLeft w:val="0"/>
      <w:marRight w:val="0"/>
      <w:marTop w:val="0"/>
      <w:marBottom w:val="0"/>
      <w:divBdr>
        <w:top w:val="none" w:sz="0" w:space="0" w:color="auto"/>
        <w:left w:val="none" w:sz="0" w:space="0" w:color="auto"/>
        <w:bottom w:val="none" w:sz="0" w:space="0" w:color="auto"/>
        <w:right w:val="none" w:sz="0" w:space="0" w:color="auto"/>
      </w:divBdr>
    </w:div>
    <w:div w:id="782773650">
      <w:bodyDiv w:val="1"/>
      <w:marLeft w:val="0"/>
      <w:marRight w:val="0"/>
      <w:marTop w:val="0"/>
      <w:marBottom w:val="0"/>
      <w:divBdr>
        <w:top w:val="none" w:sz="0" w:space="0" w:color="auto"/>
        <w:left w:val="none" w:sz="0" w:space="0" w:color="auto"/>
        <w:bottom w:val="none" w:sz="0" w:space="0" w:color="auto"/>
        <w:right w:val="none" w:sz="0" w:space="0" w:color="auto"/>
      </w:divBdr>
    </w:div>
    <w:div w:id="790516184">
      <w:bodyDiv w:val="1"/>
      <w:marLeft w:val="0"/>
      <w:marRight w:val="0"/>
      <w:marTop w:val="0"/>
      <w:marBottom w:val="0"/>
      <w:divBdr>
        <w:top w:val="none" w:sz="0" w:space="0" w:color="auto"/>
        <w:left w:val="none" w:sz="0" w:space="0" w:color="auto"/>
        <w:bottom w:val="none" w:sz="0" w:space="0" w:color="auto"/>
        <w:right w:val="none" w:sz="0" w:space="0" w:color="auto"/>
      </w:divBdr>
    </w:div>
    <w:div w:id="870725264">
      <w:bodyDiv w:val="1"/>
      <w:marLeft w:val="0"/>
      <w:marRight w:val="0"/>
      <w:marTop w:val="0"/>
      <w:marBottom w:val="0"/>
      <w:divBdr>
        <w:top w:val="none" w:sz="0" w:space="0" w:color="auto"/>
        <w:left w:val="none" w:sz="0" w:space="0" w:color="auto"/>
        <w:bottom w:val="none" w:sz="0" w:space="0" w:color="auto"/>
        <w:right w:val="none" w:sz="0" w:space="0" w:color="auto"/>
      </w:divBdr>
      <w:divsChild>
        <w:div w:id="1511409372">
          <w:marLeft w:val="461"/>
          <w:marRight w:val="0"/>
          <w:marTop w:val="145"/>
          <w:marBottom w:val="0"/>
          <w:divBdr>
            <w:top w:val="none" w:sz="0" w:space="0" w:color="auto"/>
            <w:left w:val="none" w:sz="0" w:space="0" w:color="auto"/>
            <w:bottom w:val="none" w:sz="0" w:space="0" w:color="auto"/>
            <w:right w:val="none" w:sz="0" w:space="0" w:color="auto"/>
          </w:divBdr>
        </w:div>
        <w:div w:id="852691026">
          <w:marLeft w:val="461"/>
          <w:marRight w:val="0"/>
          <w:marTop w:val="145"/>
          <w:marBottom w:val="0"/>
          <w:divBdr>
            <w:top w:val="none" w:sz="0" w:space="0" w:color="auto"/>
            <w:left w:val="none" w:sz="0" w:space="0" w:color="auto"/>
            <w:bottom w:val="none" w:sz="0" w:space="0" w:color="auto"/>
            <w:right w:val="none" w:sz="0" w:space="0" w:color="auto"/>
          </w:divBdr>
        </w:div>
      </w:divsChild>
    </w:div>
    <w:div w:id="908346474">
      <w:bodyDiv w:val="1"/>
      <w:marLeft w:val="0"/>
      <w:marRight w:val="0"/>
      <w:marTop w:val="0"/>
      <w:marBottom w:val="0"/>
      <w:divBdr>
        <w:top w:val="none" w:sz="0" w:space="0" w:color="auto"/>
        <w:left w:val="none" w:sz="0" w:space="0" w:color="auto"/>
        <w:bottom w:val="none" w:sz="0" w:space="0" w:color="auto"/>
        <w:right w:val="none" w:sz="0" w:space="0" w:color="auto"/>
      </w:divBdr>
    </w:div>
    <w:div w:id="1807505134">
      <w:bodyDiv w:val="1"/>
      <w:marLeft w:val="0"/>
      <w:marRight w:val="0"/>
      <w:marTop w:val="0"/>
      <w:marBottom w:val="0"/>
      <w:divBdr>
        <w:top w:val="none" w:sz="0" w:space="0" w:color="auto"/>
        <w:left w:val="none" w:sz="0" w:space="0" w:color="auto"/>
        <w:bottom w:val="none" w:sz="0" w:space="0" w:color="auto"/>
        <w:right w:val="none" w:sz="0" w:space="0" w:color="auto"/>
      </w:divBdr>
    </w:div>
    <w:div w:id="1833446639">
      <w:bodyDiv w:val="1"/>
      <w:marLeft w:val="0"/>
      <w:marRight w:val="0"/>
      <w:marTop w:val="0"/>
      <w:marBottom w:val="0"/>
      <w:divBdr>
        <w:top w:val="none" w:sz="0" w:space="0" w:color="auto"/>
        <w:left w:val="none" w:sz="0" w:space="0" w:color="auto"/>
        <w:bottom w:val="none" w:sz="0" w:space="0" w:color="auto"/>
        <w:right w:val="none" w:sz="0" w:space="0" w:color="auto"/>
      </w:divBdr>
    </w:div>
    <w:div w:id="1905752735">
      <w:bodyDiv w:val="1"/>
      <w:marLeft w:val="0"/>
      <w:marRight w:val="0"/>
      <w:marTop w:val="0"/>
      <w:marBottom w:val="0"/>
      <w:divBdr>
        <w:top w:val="none" w:sz="0" w:space="0" w:color="auto"/>
        <w:left w:val="none" w:sz="0" w:space="0" w:color="auto"/>
        <w:bottom w:val="none" w:sz="0" w:space="0" w:color="auto"/>
        <w:right w:val="none" w:sz="0" w:space="0" w:color="auto"/>
      </w:divBdr>
    </w:div>
    <w:div w:id="2068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eg.cancer.gov/about/diversity-inclusion/inclusivity-minute/2022/neurodiversity"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inkocor/Library/Containers/com.microsoft.Word/Data/Library/Application%20Support/Microsoft/Office/16.0/DTS/pl-PL%7b4C51B2CD-5B09-9F4B-A8E4-310880A8EEE5%7d/%7bEE408DD1-7BDC-DA4A-ABAB-303611473472%7dtf10002071.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F262BC0-24BC-3143-B96F-C1561F694A32}">
  <we:reference id="wa104379997" version="1.0.0.1" store="pl-PL" storeType="OMEX"/>
  <we:alternateReferences>
    <we:reference id="wa104379997" version="1.0.0.1" store="wa10437999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9B144F8-67AF-8C42-83AA-19F5929F11CE}">
  <we:reference id="wa104178141" version="4.3.3.0" store="pl-PL" storeType="OMEX"/>
  <we:alternateReferences>
    <we:reference id="WA104178141" version="4.3.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2.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3.xml><?xml version="1.0" encoding="utf-8"?>
<ds:datastoreItem xmlns:ds="http://schemas.openxmlformats.org/officeDocument/2006/customXml" ds:itemID="{BB083F78-D6DD-40BF-8378-BF9DFDAC2994}">
  <ds:schemaRefs>
    <ds:schemaRef ds:uri="http://schemas.openxmlformats.org/officeDocument/2006/bibliography"/>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{EE408DD1-7BDC-DA4A-ABAB-303611473472}tf10002071.dotx</Template>
  <TotalTime>99</TotalTime>
  <Pages>12</Pages>
  <Words>1542</Words>
  <Characters>10523</Characters>
  <Application>Microsoft Office Word</Application>
  <DocSecurity>0</DocSecurity>
  <Lines>181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Kocór</dc:creator>
  <cp:keywords/>
  <dc:description/>
  <cp:lastModifiedBy>Marcin Kocór</cp:lastModifiedBy>
  <cp:revision>6</cp:revision>
  <dcterms:created xsi:type="dcterms:W3CDTF">2023-12-28T08:18:00Z</dcterms:created>
  <dcterms:modified xsi:type="dcterms:W3CDTF">2023-12-28T15:32:00Z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ies>
</file>