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A2B2" w14:textId="77777777" w:rsidR="00BC5FE8" w:rsidRDefault="00BC5FE8" w:rsidP="00BC5FE8">
      <w:pPr>
        <w:pStyle w:val="Tytu"/>
        <w:ind w:left="-567" w:right="-482"/>
        <w:rPr>
          <w:sz w:val="58"/>
          <w:szCs w:val="58"/>
        </w:rPr>
      </w:pPr>
    </w:p>
    <w:p w14:paraId="1A0A663D" w14:textId="655BBA56" w:rsidR="009E4642" w:rsidRDefault="00513676" w:rsidP="00843649">
      <w:pPr>
        <w:pStyle w:val="Tytu"/>
        <w:ind w:left="-567" w:right="-482"/>
        <w:rPr>
          <w:sz w:val="58"/>
          <w:szCs w:val="58"/>
        </w:rPr>
      </w:pPr>
      <w:r w:rsidRPr="00BC5FE8">
        <w:rPr>
          <w:sz w:val="58"/>
          <w:szCs w:val="58"/>
        </w:rPr>
        <w:t xml:space="preserve">Osoby z niepełnosprawnościami </w:t>
      </w:r>
      <w:r w:rsidR="00843649">
        <w:rPr>
          <w:sz w:val="58"/>
          <w:szCs w:val="58"/>
        </w:rPr>
        <w:t>w oficjalnych statystykach</w:t>
      </w:r>
    </w:p>
    <w:p w14:paraId="5DF8EECF" w14:textId="77777777" w:rsidR="00843649" w:rsidRPr="00843649" w:rsidRDefault="00843649" w:rsidP="00843649">
      <w:pPr>
        <w:pStyle w:val="Podtytu"/>
      </w:pPr>
    </w:p>
    <w:p w14:paraId="1C01003D" w14:textId="73D7F35A" w:rsidR="009E4642" w:rsidRPr="00172FC9" w:rsidRDefault="00D86129" w:rsidP="00B832D7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E9FB8BC" wp14:editId="13F327C0">
            <wp:extent cx="5274945" cy="3512820"/>
            <wp:effectExtent l="0" t="0" r="0" b="5080"/>
            <wp:docPr id="14121255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2553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05F0" w14:textId="77777777" w:rsidR="00B832D7" w:rsidRDefault="00B832D7" w:rsidP="00B832D7">
      <w:pPr>
        <w:pStyle w:val="Autor"/>
        <w:jc w:val="right"/>
      </w:pPr>
    </w:p>
    <w:p w14:paraId="6D72E1F9" w14:textId="2C98A5BB" w:rsidR="009E4642" w:rsidRPr="00816F0E" w:rsidRDefault="00AF3720" w:rsidP="009D47CA">
      <w:pPr>
        <w:pStyle w:val="Autor"/>
      </w:pPr>
      <w:r>
        <w:t>Marcin Kocór</w:t>
      </w:r>
    </w:p>
    <w:p w14:paraId="6B54080A" w14:textId="77777777" w:rsidR="009E4642" w:rsidRPr="00816F0E" w:rsidRDefault="00816F0E">
      <w:r>
        <w:br w:type="page"/>
      </w:r>
    </w:p>
    <w:bookmarkStart w:id="0" w:name="_Toc152329325" w:displacedByCustomXml="next"/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213880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8AD683A" w14:textId="77777777" w:rsidR="00AF3720" w:rsidRPr="00AF3720" w:rsidRDefault="00AF3720">
          <w:pPr>
            <w:pStyle w:val="Nagwekspisutreci"/>
            <w:rPr>
              <w:color w:val="F75952" w:themeColor="accent1"/>
            </w:rPr>
          </w:pPr>
          <w:r w:rsidRPr="00AF3720">
            <w:rPr>
              <w:color w:val="F75952" w:themeColor="accent1"/>
            </w:rPr>
            <w:t>Spis</w:t>
          </w:r>
        </w:p>
        <w:p w14:paraId="1004354E" w14:textId="4C71E6BB" w:rsidR="00AF3720" w:rsidRDefault="00AF3720">
          <w:pPr>
            <w:pStyle w:val="Nagwekspisutreci"/>
          </w:pPr>
          <w:r>
            <w:t>treści</w:t>
          </w:r>
        </w:p>
        <w:p w14:paraId="12C46766" w14:textId="61850F67" w:rsidR="008779F8" w:rsidRPr="008779F8" w:rsidRDefault="00AF372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r w:rsidRPr="008779F8">
            <w:rPr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8779F8">
            <w:rPr>
              <w:i w:val="0"/>
              <w:iCs w:val="0"/>
              <w:sz w:val="28"/>
              <w:szCs w:val="28"/>
            </w:rPr>
            <w:instrText>TOC \o "1-3" \h \z \u</w:instrText>
          </w:r>
          <w:r w:rsidRPr="008779F8">
            <w:rPr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54758990" w:history="1">
            <w:r w:rsidR="008779F8" w:rsidRPr="008779F8">
              <w:rPr>
                <w:rStyle w:val="Hipercze"/>
                <w:i w:val="0"/>
                <w:iCs w:val="0"/>
                <w:noProof/>
              </w:rPr>
              <w:t>Statystyki publiczne</w:t>
            </w:r>
            <w:r w:rsidR="008779F8" w:rsidRPr="008779F8">
              <w:rPr>
                <w:i w:val="0"/>
                <w:iCs w:val="0"/>
                <w:noProof/>
                <w:webHidden/>
              </w:rPr>
              <w:tab/>
            </w:r>
            <w:r w:rsidR="008779F8" w:rsidRPr="008779F8">
              <w:rPr>
                <w:i w:val="0"/>
                <w:iCs w:val="0"/>
                <w:noProof/>
                <w:webHidden/>
              </w:rPr>
              <w:fldChar w:fldCharType="begin"/>
            </w:r>
            <w:r w:rsidR="008779F8" w:rsidRPr="008779F8">
              <w:rPr>
                <w:i w:val="0"/>
                <w:iCs w:val="0"/>
                <w:noProof/>
                <w:webHidden/>
              </w:rPr>
              <w:instrText xml:space="preserve"> PAGEREF _Toc154758990 \h </w:instrText>
            </w:r>
            <w:r w:rsidR="008779F8" w:rsidRPr="008779F8">
              <w:rPr>
                <w:i w:val="0"/>
                <w:iCs w:val="0"/>
                <w:noProof/>
                <w:webHidden/>
              </w:rPr>
            </w:r>
            <w:r w:rsidR="008779F8" w:rsidRPr="008779F8">
              <w:rPr>
                <w:i w:val="0"/>
                <w:iCs w:val="0"/>
                <w:noProof/>
                <w:webHidden/>
              </w:rPr>
              <w:fldChar w:fldCharType="separate"/>
            </w:r>
            <w:r w:rsidR="008779F8" w:rsidRPr="008779F8">
              <w:rPr>
                <w:i w:val="0"/>
                <w:iCs w:val="0"/>
                <w:noProof/>
                <w:webHidden/>
              </w:rPr>
              <w:t>3</w:t>
            </w:r>
            <w:r w:rsidR="008779F8" w:rsidRPr="008779F8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3BF7DF0" w14:textId="191BB4D7" w:rsidR="008779F8" w:rsidRPr="008779F8" w:rsidRDefault="008779F8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58991" w:history="1">
            <w:r w:rsidRPr="008779F8">
              <w:rPr>
                <w:rStyle w:val="Hipercze"/>
                <w:i w:val="0"/>
                <w:iCs w:val="0"/>
                <w:noProof/>
              </w:rPr>
              <w:t>Podejścia w definiowaniu niepełnosprawności</w:t>
            </w:r>
            <w:r w:rsidRPr="008779F8">
              <w:rPr>
                <w:i w:val="0"/>
                <w:iCs w:val="0"/>
                <w:noProof/>
                <w:webHidden/>
              </w:rPr>
              <w:tab/>
            </w:r>
            <w:r w:rsidRPr="008779F8">
              <w:rPr>
                <w:i w:val="0"/>
                <w:iCs w:val="0"/>
                <w:noProof/>
                <w:webHidden/>
              </w:rPr>
              <w:fldChar w:fldCharType="begin"/>
            </w:r>
            <w:r w:rsidRPr="008779F8">
              <w:rPr>
                <w:i w:val="0"/>
                <w:iCs w:val="0"/>
                <w:noProof/>
                <w:webHidden/>
              </w:rPr>
              <w:instrText xml:space="preserve"> PAGEREF _Toc154758991 \h </w:instrText>
            </w:r>
            <w:r w:rsidRPr="008779F8">
              <w:rPr>
                <w:i w:val="0"/>
                <w:iCs w:val="0"/>
                <w:noProof/>
                <w:webHidden/>
              </w:rPr>
            </w:r>
            <w:r w:rsidRPr="008779F8">
              <w:rPr>
                <w:i w:val="0"/>
                <w:iCs w:val="0"/>
                <w:noProof/>
                <w:webHidden/>
              </w:rPr>
              <w:fldChar w:fldCharType="separate"/>
            </w:r>
            <w:r w:rsidRPr="008779F8">
              <w:rPr>
                <w:i w:val="0"/>
                <w:iCs w:val="0"/>
                <w:noProof/>
                <w:webHidden/>
              </w:rPr>
              <w:t>6</w:t>
            </w:r>
            <w:r w:rsidRPr="008779F8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4F1769" w14:textId="2C89E372" w:rsidR="008779F8" w:rsidRPr="008779F8" w:rsidRDefault="008779F8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58992" w:history="1">
            <w:r w:rsidRPr="008779F8">
              <w:rPr>
                <w:rStyle w:val="Hipercze"/>
                <w:i w:val="0"/>
                <w:iCs w:val="0"/>
                <w:noProof/>
              </w:rPr>
              <w:t>Podsumowanie</w:t>
            </w:r>
            <w:r w:rsidRPr="008779F8">
              <w:rPr>
                <w:i w:val="0"/>
                <w:iCs w:val="0"/>
                <w:noProof/>
                <w:webHidden/>
              </w:rPr>
              <w:tab/>
            </w:r>
            <w:r w:rsidRPr="008779F8">
              <w:rPr>
                <w:i w:val="0"/>
                <w:iCs w:val="0"/>
                <w:noProof/>
                <w:webHidden/>
              </w:rPr>
              <w:fldChar w:fldCharType="begin"/>
            </w:r>
            <w:r w:rsidRPr="008779F8">
              <w:rPr>
                <w:i w:val="0"/>
                <w:iCs w:val="0"/>
                <w:noProof/>
                <w:webHidden/>
              </w:rPr>
              <w:instrText xml:space="preserve"> PAGEREF _Toc154758992 \h </w:instrText>
            </w:r>
            <w:r w:rsidRPr="008779F8">
              <w:rPr>
                <w:i w:val="0"/>
                <w:iCs w:val="0"/>
                <w:noProof/>
                <w:webHidden/>
              </w:rPr>
            </w:r>
            <w:r w:rsidRPr="008779F8">
              <w:rPr>
                <w:i w:val="0"/>
                <w:iCs w:val="0"/>
                <w:noProof/>
                <w:webHidden/>
              </w:rPr>
              <w:fldChar w:fldCharType="separate"/>
            </w:r>
            <w:r w:rsidRPr="008779F8">
              <w:rPr>
                <w:i w:val="0"/>
                <w:iCs w:val="0"/>
                <w:noProof/>
                <w:webHidden/>
              </w:rPr>
              <w:t>8</w:t>
            </w:r>
            <w:r w:rsidRPr="008779F8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C7DADF5" w14:textId="5941EBF6" w:rsidR="00AF3720" w:rsidRDefault="00AF3720">
          <w:r w:rsidRPr="008779F8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FB68C2" w14:textId="43F9CD04" w:rsidR="00AF3720" w:rsidRDefault="00AF3720">
      <w:pPr>
        <w:rPr>
          <w:rFonts w:asciiTheme="majorHAnsi" w:eastAsiaTheme="majorEastAsia" w:hAnsiTheme="majorHAnsi" w:cstheme="majorBidi"/>
          <w:b/>
          <w:caps/>
          <w:color w:val="2A2A2A" w:themeColor="text2"/>
          <w:sz w:val="56"/>
          <w:szCs w:val="56"/>
        </w:rPr>
      </w:pPr>
    </w:p>
    <w:p w14:paraId="3036D5A0" w14:textId="77777777" w:rsidR="008B27C2" w:rsidRDefault="008B27C2">
      <w:pPr>
        <w:rPr>
          <w:rFonts w:asciiTheme="majorHAnsi" w:eastAsiaTheme="majorEastAsia" w:hAnsiTheme="majorHAnsi" w:cstheme="majorBidi"/>
          <w:b/>
          <w:caps/>
          <w:color w:val="2A2A2A" w:themeColor="text2"/>
          <w:sz w:val="56"/>
          <w:szCs w:val="56"/>
        </w:rPr>
      </w:pPr>
      <w:r>
        <w:rPr>
          <w:sz w:val="56"/>
          <w:szCs w:val="56"/>
        </w:rPr>
        <w:br w:type="page"/>
      </w:r>
    </w:p>
    <w:bookmarkEnd w:id="0"/>
    <w:p w14:paraId="54848EFF" w14:textId="3A3A7F25" w:rsidR="009E4642" w:rsidRDefault="009E4642" w:rsidP="00AF3720"/>
    <w:p w14:paraId="49C353A1" w14:textId="22F94B27" w:rsidR="00D86129" w:rsidRDefault="00BC5FE8" w:rsidP="00AF3720">
      <w:r>
        <w:t>Jeżeli chodzi o osoby z niepełnosprawnościami działające na rynku pracy, to cały czas istnieje wiele nieporozumień, ile takich osób jest. Wynika to z dwóch kwestii – różnego ujmowania ich w odmiennych statystykach oraz tego jak definiowana jest niepełnosprawność.</w:t>
      </w:r>
    </w:p>
    <w:p w14:paraId="71327466" w14:textId="1C47B5F5" w:rsidR="00BC5796" w:rsidRPr="00763066" w:rsidRDefault="00763066" w:rsidP="00763066">
      <w:pPr>
        <w:pStyle w:val="Nagwek1"/>
        <w:spacing w:before="600" w:after="800"/>
        <w:rPr>
          <w:sz w:val="52"/>
          <w:szCs w:val="52"/>
        </w:rPr>
      </w:pPr>
      <w:bookmarkStart w:id="1" w:name="_Toc154758990"/>
      <w:r w:rsidRPr="00763066">
        <w:rPr>
          <w:sz w:val="52"/>
          <w:szCs w:val="52"/>
        </w:rPr>
        <w:t>Statystyki publiczne</w:t>
      </w:r>
      <w:bookmarkEnd w:id="1"/>
    </w:p>
    <w:p w14:paraId="7F586F0C" w14:textId="78DEBEB5" w:rsidR="00763066" w:rsidRDefault="00763066" w:rsidP="00AF3720">
      <w:r>
        <w:t>W Polsce nie ma jednego źródła danych informujących o liczbie i sytuacji osób z niepełnosprawnościami. Badaniami dotyczącymi sytuacji tych osób zajmują się różne instytucje, a gromadzone dane są zbierane według różnych podejść i metod. Najczęściej wykorzystywane i cytowane są dane zbierane przez Główny Urząd Statystyczny pochodzące ze spisów powszechnych (chociaż tutaj należy liczyć się z opóźnieniami w publikowaniu takich informacji – wciąż na przykład brakuje wyników ostatniego spisu z 2021 roku) czy częściej z Badania Ekonomicznej Aktywności Ludności.</w:t>
      </w:r>
    </w:p>
    <w:p w14:paraId="52C9E5A5" w14:textId="77777777" w:rsidR="00763066" w:rsidRDefault="00763066" w:rsidP="00AF3720"/>
    <w:p w14:paraId="4136CB29" w14:textId="3A1A957D" w:rsidR="00BC5FE8" w:rsidRPr="00763066" w:rsidRDefault="00BC5FE8" w:rsidP="00763066">
      <w:pPr>
        <w:pStyle w:val="Cytat"/>
        <w:rPr>
          <w:color w:val="C00000"/>
          <w:sz w:val="44"/>
          <w:szCs w:val="44"/>
        </w:rPr>
      </w:pPr>
      <w:r w:rsidRPr="00763066">
        <w:rPr>
          <w:color w:val="C00000"/>
          <w:sz w:val="44"/>
          <w:szCs w:val="44"/>
        </w:rPr>
        <w:t>Spis powszechny</w:t>
      </w:r>
    </w:p>
    <w:p w14:paraId="28992DE0" w14:textId="5CC814E5" w:rsidR="00BC5FE8" w:rsidRDefault="00BC5FE8" w:rsidP="00AF3720">
      <w:r w:rsidRPr="00BC5FE8">
        <w:t>W 2011 roku, zgodnie z danymi Narodowego Spisu Powszechnego Ludności i Mieszkań, w Polsce było niemal 4,7 miliona osób niepełnosprawnych, co stanowiło 12,2% całej populacji kraju. To stanowiło spadek w porównaniu z 2002 rokiem, kiedy odnotowano 14,3% osób niepełnosprawnych. Wśród osób niepełnosprawnych 46,1% stanowili mężczyźni, a 53,9% kobiety. Dokumentacja prawna niepełnosprawności dotyczyła ponad 3,1 miliona osób. Osoby niepełnosprawne biologicznie, odczuwające ograniczenia w</w:t>
      </w:r>
      <w:r w:rsidR="00BC5796">
        <w:t> </w:t>
      </w:r>
      <w:r w:rsidRPr="00BC5FE8">
        <w:t>podstawowych czynnościach życiowych, były klasyfikowane według trzech stopni ograniczeń. Metodologia NSP 2011 różniła się od tej z 2002 roku, wykorzystując administracyjne bazy danych i</w:t>
      </w:r>
      <w:r w:rsidR="00BC5796">
        <w:t> </w:t>
      </w:r>
      <w:r w:rsidRPr="00BC5FE8">
        <w:t>spis reprezentacyjny.</w:t>
      </w:r>
    </w:p>
    <w:p w14:paraId="7B342C1F" w14:textId="48E37ADD" w:rsidR="00BC5796" w:rsidRDefault="00BC5796" w:rsidP="00AF3720">
      <w:r>
        <w:lastRenderedPageBreak/>
        <w:t>Nadal nie ma jednak danych na ten temat pochodzących z</w:t>
      </w:r>
      <w:r w:rsidR="00FD0E5A">
        <w:t> </w:t>
      </w:r>
      <w:r>
        <w:t xml:space="preserve">ostatniego </w:t>
      </w:r>
      <w:r w:rsidR="00FD0E5A" w:rsidRPr="00FD0E5A">
        <w:t>Narodow</w:t>
      </w:r>
      <w:r w:rsidR="00FD0E5A">
        <w:t>ego</w:t>
      </w:r>
      <w:r w:rsidR="00FD0E5A" w:rsidRPr="00FD0E5A">
        <w:t xml:space="preserve"> Spis</w:t>
      </w:r>
      <w:r w:rsidR="00FD0E5A">
        <w:t>u</w:t>
      </w:r>
      <w:r w:rsidR="00FD0E5A" w:rsidRPr="00FD0E5A">
        <w:t xml:space="preserve"> Powszechn</w:t>
      </w:r>
      <w:r w:rsidR="00FD0E5A">
        <w:t>ego</w:t>
      </w:r>
      <w:r w:rsidR="00FD0E5A" w:rsidRPr="00FD0E5A">
        <w:t xml:space="preserve"> Ludności i Mieszkań</w:t>
      </w:r>
      <w:r w:rsidR="00FD0E5A">
        <w:t xml:space="preserve"> z 2021 roku.</w:t>
      </w:r>
    </w:p>
    <w:p w14:paraId="52775A1A" w14:textId="77777777" w:rsidR="00BC5796" w:rsidRDefault="00BC5796" w:rsidP="00AF3720"/>
    <w:p w14:paraId="28E45C4C" w14:textId="77777777" w:rsidR="00BC5796" w:rsidRPr="00763066" w:rsidRDefault="00BC5796" w:rsidP="00763066">
      <w:pPr>
        <w:pStyle w:val="Cytat"/>
        <w:rPr>
          <w:color w:val="C00000"/>
          <w:sz w:val="44"/>
          <w:szCs w:val="44"/>
        </w:rPr>
      </w:pPr>
      <w:r w:rsidRPr="00763066">
        <w:rPr>
          <w:color w:val="C00000"/>
          <w:sz w:val="44"/>
          <w:szCs w:val="44"/>
        </w:rPr>
        <w:t>Europejskie Ankietowe Badanie Zdrowia (</w:t>
      </w:r>
      <w:proofErr w:type="spellStart"/>
      <w:r w:rsidRPr="00763066">
        <w:rPr>
          <w:color w:val="C00000"/>
          <w:sz w:val="44"/>
          <w:szCs w:val="44"/>
        </w:rPr>
        <w:t>European</w:t>
      </w:r>
      <w:proofErr w:type="spellEnd"/>
      <w:r w:rsidRPr="00763066">
        <w:rPr>
          <w:color w:val="C00000"/>
          <w:sz w:val="44"/>
          <w:szCs w:val="44"/>
        </w:rPr>
        <w:t xml:space="preserve"> </w:t>
      </w:r>
      <w:proofErr w:type="spellStart"/>
      <w:r w:rsidRPr="00763066">
        <w:rPr>
          <w:color w:val="C00000"/>
          <w:sz w:val="44"/>
          <w:szCs w:val="44"/>
        </w:rPr>
        <w:t>Health</w:t>
      </w:r>
      <w:proofErr w:type="spellEnd"/>
      <w:r w:rsidRPr="00763066">
        <w:rPr>
          <w:color w:val="C00000"/>
          <w:sz w:val="44"/>
          <w:szCs w:val="44"/>
        </w:rPr>
        <w:t xml:space="preserve"> Interview </w:t>
      </w:r>
      <w:proofErr w:type="spellStart"/>
      <w:r w:rsidRPr="00763066">
        <w:rPr>
          <w:color w:val="C00000"/>
          <w:sz w:val="44"/>
          <w:szCs w:val="44"/>
        </w:rPr>
        <w:t>Survey</w:t>
      </w:r>
      <w:proofErr w:type="spellEnd"/>
      <w:r w:rsidRPr="00763066">
        <w:rPr>
          <w:color w:val="C00000"/>
          <w:sz w:val="44"/>
          <w:szCs w:val="44"/>
        </w:rPr>
        <w:t xml:space="preserve"> – EHIS</w:t>
      </w:r>
    </w:p>
    <w:p w14:paraId="7361AF70" w14:textId="7A522F18" w:rsidR="00BC5796" w:rsidRDefault="00BC5796" w:rsidP="00AF3720">
      <w:r w:rsidRPr="00BC5796">
        <w:t>Według Europejskiego Ankietowego Badania Zdrowia z 2014 r., w</w:t>
      </w:r>
      <w:r>
        <w:t> </w:t>
      </w:r>
      <w:r w:rsidRPr="00BC5796">
        <w:t>Polsce zarejestrowano 7,7 miliona osób z biologicznymi niepełnosprawnościami, z czego 2,5 miliona miało poważne ograniczenia, a 5,2 miliona - mniej poważne. Liczba ta różni się w zależności od stosowanych kryteriów niepełnosprawności, waha się między 4,9 a 7,7 miliona. Liczba dzieci niepełnosprawnych wynosiła ponad 211 tysięcy. EHIS wykazał, że prawie 3,8 miliona Polaków posiadało orzeczenie o niepełnosprawności, co jest wynikiem wyższym o 0,3 miliona niż szacunki z badania BAEL. Według EHIS, 42% osób niepełnosprawnych prawnie miało umiarkowaną niepełnosprawność, 28% - znaczną, a 25% - lekką.</w:t>
      </w:r>
    </w:p>
    <w:p w14:paraId="72E2CB43" w14:textId="77777777" w:rsidR="00843649" w:rsidRDefault="00843649" w:rsidP="00AF3720"/>
    <w:p w14:paraId="134914B5" w14:textId="77777777" w:rsidR="00BC5796" w:rsidRPr="00763066" w:rsidRDefault="00BC5796" w:rsidP="00763066">
      <w:pPr>
        <w:pStyle w:val="Cytat"/>
        <w:rPr>
          <w:color w:val="C00000"/>
          <w:sz w:val="44"/>
          <w:szCs w:val="44"/>
        </w:rPr>
      </w:pPr>
      <w:r w:rsidRPr="00763066">
        <w:rPr>
          <w:color w:val="C00000"/>
          <w:sz w:val="44"/>
          <w:szCs w:val="44"/>
        </w:rPr>
        <w:t xml:space="preserve">Badanie Aktywności Ekonomicznej Ludności (BAEL) </w:t>
      </w:r>
    </w:p>
    <w:p w14:paraId="5E3922BE" w14:textId="4AB1F9B2" w:rsidR="00BC5796" w:rsidRDefault="00BC5796" w:rsidP="00AF3720">
      <w:r>
        <w:t xml:space="preserve">Badania te są </w:t>
      </w:r>
      <w:r w:rsidRPr="00BC5796">
        <w:t>przeprowadz</w:t>
      </w:r>
      <w:r>
        <w:t>a</w:t>
      </w:r>
      <w:r w:rsidRPr="00BC5796">
        <w:t>ne przez GUS od 1992 roku</w:t>
      </w:r>
      <w:r>
        <w:t xml:space="preserve"> i</w:t>
      </w:r>
      <w:r w:rsidRPr="00BC5796">
        <w:t xml:space="preserve"> wykazało </w:t>
      </w:r>
      <w:r>
        <w:t xml:space="preserve">ono </w:t>
      </w:r>
      <w:r w:rsidRPr="00BC5796">
        <w:t>spadek liczby osób niepełnosprawnych prawnie w wieku powyżej 16 lat. Od 2002 roku liczba ta systematycznie malała, osiągając 3,5 miliona w 2009 roku i dalej spadając do 3 milionów w</w:t>
      </w:r>
      <w:r>
        <w:t> </w:t>
      </w:r>
      <w:r w:rsidRPr="00BC5796">
        <w:t xml:space="preserve">2018 roku, co stanowiło 10% populacji w wieku powyżej 15 lat. Średnioroczna liczba osób niepełnosprawnych prawnie w wieku produkcyjnym wynosiła około 1,6 miliona, czyli 7,6% tej grupy wiekowej. BAEL wskazał również na zmianę struktury osób </w:t>
      </w:r>
      <w:r w:rsidRPr="00BC5796">
        <w:lastRenderedPageBreak/>
        <w:t>niepełnosprawnych według stopnia niepełnosprawności w latach 2002-20</w:t>
      </w:r>
      <w:r w:rsidR="00843649">
        <w:t>21</w:t>
      </w:r>
      <w:r w:rsidRPr="00BC5796">
        <w:t>, zwiększając udział osób z umiarkowaną i znaczną niepełnosprawnością</w:t>
      </w:r>
      <w:r w:rsidR="00843649">
        <w:t>:</w:t>
      </w:r>
    </w:p>
    <w:p w14:paraId="75A19B11" w14:textId="62AF29AA" w:rsidR="00843649" w:rsidRDefault="00843649" w:rsidP="00843649">
      <w:r>
        <w:t>Badanie przeprowadzone w 2002 roku wskazało na:</w:t>
      </w:r>
    </w:p>
    <w:p w14:paraId="53C6DBD4" w14:textId="70414B49" w:rsidR="00843649" w:rsidRPr="00843649" w:rsidRDefault="00843649" w:rsidP="00843649">
      <w:pPr>
        <w:pStyle w:val="Akapitzlist"/>
        <w:numPr>
          <w:ilvl w:val="0"/>
          <w:numId w:val="27"/>
        </w:numPr>
        <w:rPr>
          <w:i w:val="0"/>
          <w:iCs/>
        </w:rPr>
      </w:pPr>
      <w:r w:rsidRPr="00843649">
        <w:rPr>
          <w:i w:val="0"/>
          <w:iCs/>
        </w:rPr>
        <w:t>21,1% osób niepełnosprawnych w stopniu znacznym,</w:t>
      </w:r>
    </w:p>
    <w:p w14:paraId="0EEC2936" w14:textId="524F3B2A" w:rsidR="00843649" w:rsidRPr="00843649" w:rsidRDefault="00843649" w:rsidP="00843649">
      <w:pPr>
        <w:pStyle w:val="Akapitzlist"/>
        <w:numPr>
          <w:ilvl w:val="0"/>
          <w:numId w:val="27"/>
        </w:numPr>
        <w:rPr>
          <w:i w:val="0"/>
          <w:iCs/>
        </w:rPr>
      </w:pPr>
      <w:r w:rsidRPr="00843649">
        <w:rPr>
          <w:i w:val="0"/>
          <w:iCs/>
        </w:rPr>
        <w:t>35,1% osób niepełnosprawnych w stopniu umiarkowanym,</w:t>
      </w:r>
    </w:p>
    <w:p w14:paraId="14F5C440" w14:textId="449D91B3" w:rsidR="00843649" w:rsidRPr="00843649" w:rsidRDefault="00843649" w:rsidP="00843649">
      <w:pPr>
        <w:pStyle w:val="Akapitzlist"/>
        <w:numPr>
          <w:ilvl w:val="0"/>
          <w:numId w:val="27"/>
        </w:numPr>
        <w:rPr>
          <w:i w:val="0"/>
          <w:iCs/>
        </w:rPr>
      </w:pPr>
      <w:r w:rsidRPr="00843649">
        <w:rPr>
          <w:i w:val="0"/>
          <w:iCs/>
        </w:rPr>
        <w:t>42,7% osób niepełnosprawnych w stopniu lekkim.</w:t>
      </w:r>
    </w:p>
    <w:p w14:paraId="3376979A" w14:textId="003A41C3" w:rsidR="00843649" w:rsidRDefault="00843649" w:rsidP="00843649">
      <w:r>
        <w:t>Natomiast w 2019 roku wyniki były różne:</w:t>
      </w:r>
    </w:p>
    <w:p w14:paraId="67A2CC4E" w14:textId="77777777" w:rsidR="00843649" w:rsidRPr="00843649" w:rsidRDefault="00843649" w:rsidP="00843649">
      <w:pPr>
        <w:pStyle w:val="Akapitzlist"/>
        <w:numPr>
          <w:ilvl w:val="0"/>
          <w:numId w:val="28"/>
        </w:numPr>
        <w:rPr>
          <w:i w:val="0"/>
          <w:iCs/>
        </w:rPr>
      </w:pPr>
      <w:r w:rsidRPr="00843649">
        <w:rPr>
          <w:i w:val="0"/>
          <w:iCs/>
        </w:rPr>
        <w:t>27,4% osób niepełnosprawnych w stopniu znacznym,</w:t>
      </w:r>
    </w:p>
    <w:p w14:paraId="6B84B29C" w14:textId="77777777" w:rsidR="00843649" w:rsidRPr="00843649" w:rsidRDefault="00843649" w:rsidP="00843649">
      <w:pPr>
        <w:pStyle w:val="Akapitzlist"/>
        <w:numPr>
          <w:ilvl w:val="0"/>
          <w:numId w:val="28"/>
        </w:numPr>
        <w:rPr>
          <w:i w:val="0"/>
          <w:iCs/>
        </w:rPr>
      </w:pPr>
      <w:r w:rsidRPr="00843649">
        <w:rPr>
          <w:i w:val="0"/>
          <w:iCs/>
        </w:rPr>
        <w:t>47,3% osób niepełnosprawnych w stopniu umiarkowanym,</w:t>
      </w:r>
    </w:p>
    <w:p w14:paraId="5CE3A1FB" w14:textId="5CC5088D" w:rsidR="00843649" w:rsidRDefault="00843649" w:rsidP="00843649">
      <w:pPr>
        <w:pStyle w:val="Akapitzlist"/>
        <w:numPr>
          <w:ilvl w:val="0"/>
          <w:numId w:val="28"/>
        </w:numPr>
        <w:rPr>
          <w:i w:val="0"/>
          <w:iCs/>
        </w:rPr>
      </w:pPr>
      <w:r w:rsidRPr="00843649">
        <w:rPr>
          <w:i w:val="0"/>
          <w:iCs/>
        </w:rPr>
        <w:t>25,3% z lekką niepełnosprawnością.</w:t>
      </w:r>
    </w:p>
    <w:p w14:paraId="39151739" w14:textId="77777777" w:rsidR="00843649" w:rsidRDefault="00843649" w:rsidP="00843649">
      <w:pPr>
        <w:rPr>
          <w:iCs/>
        </w:rPr>
      </w:pPr>
      <w:r>
        <w:rPr>
          <w:iCs/>
        </w:rPr>
        <w:t>Z kolei w badaniu z 2021 roku rozkład ten prezentował się następująco:</w:t>
      </w:r>
    </w:p>
    <w:p w14:paraId="50DC47D7" w14:textId="7D183743" w:rsidR="00843649" w:rsidRPr="00843649" w:rsidRDefault="00843649" w:rsidP="00843649">
      <w:pPr>
        <w:pStyle w:val="Akapitzlist"/>
        <w:numPr>
          <w:ilvl w:val="0"/>
          <w:numId w:val="28"/>
        </w:numPr>
        <w:rPr>
          <w:i w:val="0"/>
          <w:iCs/>
        </w:rPr>
      </w:pPr>
      <w:r w:rsidRPr="00843649">
        <w:rPr>
          <w:i w:val="0"/>
          <w:iCs/>
        </w:rPr>
        <w:t>28,3% osób znacznym stopniem niepełnosprawności,</w:t>
      </w:r>
    </w:p>
    <w:p w14:paraId="2DBCEE67" w14:textId="4A35B36D" w:rsidR="00843649" w:rsidRPr="00843649" w:rsidRDefault="00843649" w:rsidP="00843649">
      <w:pPr>
        <w:pStyle w:val="Akapitzlist"/>
        <w:numPr>
          <w:ilvl w:val="0"/>
          <w:numId w:val="28"/>
        </w:numPr>
        <w:rPr>
          <w:i w:val="0"/>
          <w:iCs/>
        </w:rPr>
      </w:pPr>
      <w:r w:rsidRPr="00843649">
        <w:rPr>
          <w:i w:val="0"/>
          <w:iCs/>
        </w:rPr>
        <w:t>48,1% osób z umiarkowanym stopniem niepełnosprawności,</w:t>
      </w:r>
    </w:p>
    <w:p w14:paraId="01267E29" w14:textId="3C44F22D" w:rsidR="00843649" w:rsidRPr="00843649" w:rsidRDefault="00843649" w:rsidP="00843649">
      <w:pPr>
        <w:pStyle w:val="Akapitzlist"/>
        <w:numPr>
          <w:ilvl w:val="0"/>
          <w:numId w:val="28"/>
        </w:numPr>
        <w:rPr>
          <w:i w:val="0"/>
          <w:iCs/>
        </w:rPr>
      </w:pPr>
      <w:r w:rsidRPr="00843649">
        <w:rPr>
          <w:i w:val="0"/>
          <w:iCs/>
        </w:rPr>
        <w:t>23,6% osób z lekkim stopniem niepełnosprawności.</w:t>
      </w:r>
    </w:p>
    <w:p w14:paraId="0FCFDFB1" w14:textId="77777777" w:rsidR="00BC5796" w:rsidRDefault="00BC5796" w:rsidP="00AF3720"/>
    <w:p w14:paraId="758E6CC7" w14:textId="29FE5421" w:rsidR="00BC5796" w:rsidRPr="00763066" w:rsidRDefault="00BC5796" w:rsidP="00763066">
      <w:pPr>
        <w:pStyle w:val="Cytat"/>
        <w:rPr>
          <w:color w:val="C00000"/>
          <w:sz w:val="44"/>
          <w:szCs w:val="44"/>
        </w:rPr>
      </w:pPr>
      <w:r w:rsidRPr="00763066">
        <w:rPr>
          <w:color w:val="C00000"/>
          <w:sz w:val="44"/>
          <w:szCs w:val="44"/>
        </w:rPr>
        <w:t>Elektroniczny Krajowy System Monitoringu Orzekania o</w:t>
      </w:r>
      <w:r w:rsidR="00763066">
        <w:rPr>
          <w:color w:val="C00000"/>
          <w:sz w:val="44"/>
          <w:szCs w:val="44"/>
        </w:rPr>
        <w:t> </w:t>
      </w:r>
      <w:r w:rsidRPr="00763066">
        <w:rPr>
          <w:color w:val="C00000"/>
          <w:sz w:val="44"/>
          <w:szCs w:val="44"/>
        </w:rPr>
        <w:t xml:space="preserve">Niepełnosprawności (SI </w:t>
      </w:r>
      <w:proofErr w:type="spellStart"/>
      <w:r w:rsidRPr="00763066">
        <w:rPr>
          <w:color w:val="C00000"/>
          <w:sz w:val="44"/>
          <w:szCs w:val="44"/>
        </w:rPr>
        <w:t>EKSMOoN</w:t>
      </w:r>
      <w:proofErr w:type="spellEnd"/>
      <w:r w:rsidRPr="00763066">
        <w:rPr>
          <w:color w:val="C00000"/>
          <w:sz w:val="44"/>
          <w:szCs w:val="44"/>
        </w:rPr>
        <w:t>)</w:t>
      </w:r>
    </w:p>
    <w:p w14:paraId="10B8ED70" w14:textId="183982CB" w:rsidR="00BC5796" w:rsidRDefault="00BC5796" w:rsidP="00AF3720">
      <w:r w:rsidRPr="00BC5796">
        <w:t xml:space="preserve">Dane dotyczące procesu orzekania o niepełnosprawności są zbierane w Elektronicznym Krajowym Systemie Monitoringu Orzekania o Niepełnosprawności (SI </w:t>
      </w:r>
      <w:proofErr w:type="spellStart"/>
      <w:r w:rsidRPr="00BC5796">
        <w:t>EKSMOoN</w:t>
      </w:r>
      <w:proofErr w:type="spellEnd"/>
      <w:r w:rsidRPr="00BC5796">
        <w:t xml:space="preserve">). Ten system pomaga w rejestracji i wydawaniu orzeczeń o niepełnosprawności przez zespoły wojewódzkie i powiatowe, umożliwia też kontrolę wniosków, odwołań i orzeczeń na terenie całego kraju. Pełnomocnik Rządu ds. Osób Niepełnosprawnych wykorzystuje go do przeprowadzania analiz. Na koniec IV kwartału 2021 roku </w:t>
      </w:r>
      <w:r w:rsidRPr="00BC5796">
        <w:lastRenderedPageBreak/>
        <w:t>w</w:t>
      </w:r>
      <w:r>
        <w:t> </w:t>
      </w:r>
      <w:proofErr w:type="spellStart"/>
      <w:r w:rsidRPr="00BC5796">
        <w:t>EKSMOoN</w:t>
      </w:r>
      <w:proofErr w:type="spellEnd"/>
      <w:r w:rsidRPr="00BC5796">
        <w:t xml:space="preserve"> zarejestrowanych było ponad 3 miliony osób niepełnosprawnych, z różnymi stopniami niepełnosprawności.</w:t>
      </w:r>
    </w:p>
    <w:p w14:paraId="14EEFF7B" w14:textId="622112AC" w:rsidR="00BC5796" w:rsidRDefault="00BC5796" w:rsidP="00BC5796">
      <w:r>
        <w:t xml:space="preserve">Według danych za IV kwartał 2021 r. w systemie </w:t>
      </w:r>
      <w:proofErr w:type="spellStart"/>
      <w:r>
        <w:t>EKSMOoN</w:t>
      </w:r>
      <w:proofErr w:type="spellEnd"/>
      <w:r>
        <w:t xml:space="preserve"> zarejestrowanych było 217 234 osób z niepełnosprawnościami w wieku do 16 lat oraz 2 880 726 osób niepełnosprawnych, które ukończyły 16 rok życia, w tym: 902 536 osób z orzeczeniem o lekkim stopniu niepełnosprawności, 1 365 774 osób z orzeczeniem o umiarkowanym stopniu niepełnosprawności, 612 416 osób z orzeczeniem o znacznym stopniu niepełnosprawności.</w:t>
      </w:r>
    </w:p>
    <w:p w14:paraId="65C48C99" w14:textId="09D13F0B" w:rsidR="00BC5FE8" w:rsidRDefault="00843649" w:rsidP="00AF3720">
      <w:r>
        <w:t xml:space="preserve">Wedle tych danych można też określić jakie są przyczyny występowania o orzeczenie o niepełnosprawności. </w:t>
      </w:r>
      <w:r w:rsidRPr="00843649">
        <w:t>Najczęściej występującą przyczyną niepełnosprawności jest uszkodzenie narządu ruchu (30,9%), po czym następują choroby układu oddechowego i krążenia (19,8%) oraz schorzenia neurologiczne (14,2%). Najmniej powszechne są inne schorzenia (0,4%), w tym endokrynologiczne, metaboliczne zaburzenia enzymatyczne, choroby zakaźne i odzwierzęce, zeszpecenia, choroby układu krwiotwórczego, jak również epilepsja (1,3%) i upośledzenie umysłowe (1,9%). Warto zauważyć, że na jednym orzeczeniu może być wymienionych do trzech przyczyn niepełnosprawności, a jedna osoba może posiadać więcej niż jedno orzeczenie.</w:t>
      </w:r>
    </w:p>
    <w:p w14:paraId="034F8246" w14:textId="457ABB8C" w:rsidR="00D86129" w:rsidRPr="00763066" w:rsidRDefault="00763066" w:rsidP="00763066">
      <w:pPr>
        <w:pStyle w:val="Nagwek1"/>
        <w:spacing w:before="600" w:after="800"/>
        <w:rPr>
          <w:sz w:val="52"/>
          <w:szCs w:val="52"/>
        </w:rPr>
      </w:pPr>
      <w:bookmarkStart w:id="2" w:name="_Toc154758991"/>
      <w:r w:rsidRPr="00763066">
        <w:rPr>
          <w:sz w:val="52"/>
          <w:szCs w:val="52"/>
        </w:rPr>
        <w:t>Podejścia w</w:t>
      </w:r>
      <w:r>
        <w:rPr>
          <w:sz w:val="52"/>
          <w:szCs w:val="52"/>
        </w:rPr>
        <w:t> </w:t>
      </w:r>
      <w:r w:rsidRPr="00763066">
        <w:rPr>
          <w:sz w:val="52"/>
          <w:szCs w:val="52"/>
        </w:rPr>
        <w:t>definiowaniu niepełnosprawności</w:t>
      </w:r>
      <w:bookmarkEnd w:id="2"/>
    </w:p>
    <w:p w14:paraId="4E521BE3" w14:textId="77777777" w:rsidR="00FB0360" w:rsidRDefault="00763066" w:rsidP="00763066">
      <w:r>
        <w:t xml:space="preserve">Niepełnosprawność jeszcze do niedawna była rozumiana najczęściej w kategoriach formalnych – posiadania dokumentu potwierdzającego taki status. Prowadziło to w nieunikniony sposób do zaniżania rzeczywistych rozmiarów tego zjawiska w społeczeństwie. Obecnie jednak coraz częściej traktuje się niepełnosprawność znacznie szerzej, opierając się na jej </w:t>
      </w:r>
      <w:r>
        <w:lastRenderedPageBreak/>
        <w:t xml:space="preserve">biologicznych podstawach. Cały czas jednak istnieje ten rozdźwięk, co prowadzić może do nieporozumień. </w:t>
      </w:r>
    </w:p>
    <w:p w14:paraId="70F1C862" w14:textId="122A3C17" w:rsidR="00763066" w:rsidRDefault="00763066" w:rsidP="00763066">
      <w:r>
        <w:t>Prawne postrzeganie niepełnosprawności</w:t>
      </w:r>
      <w:r w:rsidR="00FB0360">
        <w:t xml:space="preserve"> o</w:t>
      </w:r>
      <w:r>
        <w:t xml:space="preserve">piera się na formalnych kryteriach i przepisach prawnych. Oznacza to, że osoba jest uznawana za niepełnosprawną, jeśli posiada odpowiednie orzeczenie wydane przez uprawnione instytucje, takie jak zespoły do spraw orzekania o niepełnosprawności. Orzeczenie to zwykle </w:t>
      </w:r>
      <w:r w:rsidR="00FB0360">
        <w:t xml:space="preserve">wymaga spełnienia </w:t>
      </w:r>
      <w:r>
        <w:t>określonych kryteri</w:t>
      </w:r>
      <w:r w:rsidR="00FB0360">
        <w:t>ów</w:t>
      </w:r>
      <w:r>
        <w:t>, które mogą uwzględniać stopień upośledzenia funkcji organizmu, ograniczenia w codziennym funkcjonowaniu czy potrzebę wsparcia.</w:t>
      </w:r>
    </w:p>
    <w:p w14:paraId="7678CE2B" w14:textId="358BDD4E" w:rsidR="00763066" w:rsidRDefault="00FB0360" w:rsidP="00763066">
      <w:r>
        <w:t>Z kolei, szersze b</w:t>
      </w:r>
      <w:r w:rsidR="00763066">
        <w:t xml:space="preserve">iologiczne </w:t>
      </w:r>
      <w:r>
        <w:t>ujmowanie</w:t>
      </w:r>
      <w:r w:rsidR="00763066">
        <w:t xml:space="preserve"> niepełnosprawności</w:t>
      </w:r>
      <w:r>
        <w:t xml:space="preserve"> s</w:t>
      </w:r>
      <w:r w:rsidR="00763066">
        <w:t>kupia się na fizycznych, psychicznych lub umysłowych ograniczeniach osoby, które wpływają na jej codzienne życie. Biologiczne ujęcie niepełnosprawności nie wymaga formalnego orzeczenia i</w:t>
      </w:r>
      <w:r>
        <w:t> </w:t>
      </w:r>
      <w:r w:rsidR="00763066">
        <w:t>koncentruje się bardziej na rzeczywistych trudnościach i</w:t>
      </w:r>
      <w:r>
        <w:t> </w:t>
      </w:r>
      <w:r w:rsidR="00763066">
        <w:t>wyzwaniach, z jakimi osoba niepełnosprawna się mierzy. Jest to bardziej subiektywne i oparte na indywidualnym doświadczeniu osoby.</w:t>
      </w:r>
    </w:p>
    <w:p w14:paraId="50A71AC5" w14:textId="5A11BF30" w:rsidR="00FB0360" w:rsidRDefault="00FB0360" w:rsidP="00FB0360">
      <w:r>
        <w:t>Osoby niepełnosprawne, zgodnie z Konwencją ONZ o Prawach Osób Niepełnosprawnych (CRPD), obejmują tych, którzy mają długoterminowe upośledzenia fizyczne, psychiczne, intelektualne lub sensoryczne. Te upośledzenia, w połączeniu z różnymi barierami, mogą utrudniać pełne i skuteczne uczestnictwo w społeczeństwie na równi z innymi. Pokazuje to, że niepełnosprawność jest konstruktem społecznym wynikającym z interakcji między osobami z upośledzeniami a ich otoczeniem. CRPD uznaje również, że niepełnosprawność to koncepcja ewoluująca z czasem.</w:t>
      </w:r>
    </w:p>
    <w:p w14:paraId="752E84BD" w14:textId="410A34DF" w:rsidR="00763066" w:rsidRDefault="00FB0360" w:rsidP="00FB0360">
      <w:r>
        <w:t xml:space="preserve">Rozumienie niepełnosprawności jako konstruktu społecznego, podlegającego różnicom kulturowym i zmianom w czasie, utrudnia mierzenie niepełnosprawności i porównania między krajami. Jednak sugeruje to także, że to jednostki najlepiej mogą ocenić, czy powinny być zaliczane do grupy osób niepełnosprawnych w danym momencie. Subiektywne mierzenie niepełnosprawności dostarcza użytecznego wskaźnika do oceny społecznych i rynkowych </w:t>
      </w:r>
      <w:r>
        <w:lastRenderedPageBreak/>
        <w:t>ograniczeń</w:t>
      </w:r>
      <w:r>
        <w:t xml:space="preserve"> wynikających z niepełnosprawności, </w:t>
      </w:r>
      <w:r>
        <w:t xml:space="preserve">lecz </w:t>
      </w:r>
      <w:r>
        <w:t xml:space="preserve">mimo </w:t>
      </w:r>
      <w:r>
        <w:t>to</w:t>
      </w:r>
      <w:r>
        <w:t xml:space="preserve"> wszelkie porównania muszą uwzględniać różnice w</w:t>
      </w:r>
      <w:r>
        <w:t> </w:t>
      </w:r>
      <w:r>
        <w:t>rozpowszechnieniu niepełnosprawności.</w:t>
      </w:r>
    </w:p>
    <w:p w14:paraId="60FAA924" w14:textId="00BC697C" w:rsidR="00FB0360" w:rsidRDefault="00FB0360" w:rsidP="00FB0360">
      <w:r>
        <w:t xml:space="preserve">W ubiegłym roku ukazało się obszerne opracowanie OECD poświęcone niepełnosprawności, które również zwraca uwagę na te ograniczenia w podejściu i ujmowaniu niepełnosprawności. </w:t>
      </w:r>
      <w:r w:rsidRPr="00FB0360">
        <w:t>W</w:t>
      </w:r>
      <w:r>
        <w:t xml:space="preserve"> oparciu o zebrane dane, w </w:t>
      </w:r>
      <w:r w:rsidRPr="00FB0360">
        <w:t xml:space="preserve">społecznościach OECD co szósta osoba zgłasza niepełnosprawność, ale występowanie niepełnosprawności znacznie różni się między krajami i </w:t>
      </w:r>
      <w:r>
        <w:t>kategoriami</w:t>
      </w:r>
      <w:r w:rsidRPr="00FB0360">
        <w:t xml:space="preserve"> społecznymi. Różnice te wynikają z wielu czynników, takich jak stygmatyzacja, postrzeganie, kultura i świadomość. W Korei wyjątkowo nisk</w:t>
      </w:r>
      <w:r>
        <w:t>i poziom</w:t>
      </w:r>
      <w:r w:rsidRPr="00FB0360">
        <w:t xml:space="preserve"> niepełnosprawności (3%) wynika z wykluczenia zaburzeń psychicznych z narzędzi badawczych</w:t>
      </w:r>
      <w:r>
        <w:t>. Podobnie jest również</w:t>
      </w:r>
      <w:r w:rsidRPr="00FB0360">
        <w:t xml:space="preserve"> w </w:t>
      </w:r>
      <w:r>
        <w:t>m.in.</w:t>
      </w:r>
      <w:r w:rsidRPr="00FB0360">
        <w:t xml:space="preserve"> Chile, Meksyk</w:t>
      </w:r>
      <w:r>
        <w:t>u czy</w:t>
      </w:r>
      <w:r w:rsidRPr="00FB0360">
        <w:t xml:space="preserve"> USA</w:t>
      </w:r>
      <w:r>
        <w:t>.</w:t>
      </w:r>
      <w:r w:rsidRPr="00FB0360">
        <w:t xml:space="preserve"> Niepełnosprawność częściej dotyka kobiety, szczególnie ze względu na zaburzenia psychiczne, jak depresja i lęk. </w:t>
      </w:r>
      <w:r>
        <w:t>Także s</w:t>
      </w:r>
      <w:r w:rsidRPr="00FB0360">
        <w:t xml:space="preserve">tarsze osoby </w:t>
      </w:r>
      <w:r>
        <w:t xml:space="preserve">w naturalny sposób </w:t>
      </w:r>
      <w:r w:rsidRPr="00FB0360">
        <w:t>są bardziej podatne na niepełnosprawność, ale również wśród młodych osób (</w:t>
      </w:r>
      <w:r>
        <w:t xml:space="preserve">w wieku </w:t>
      </w:r>
      <w:r w:rsidRPr="00FB0360">
        <w:t xml:space="preserve">15-29 lat) </w:t>
      </w:r>
      <w:r>
        <w:t xml:space="preserve">poziom niepełnosprawności </w:t>
      </w:r>
      <w:r w:rsidRPr="00FB0360">
        <w:t xml:space="preserve">wynosi średnio 8%. </w:t>
      </w:r>
      <w:r>
        <w:t>Istnieje również</w:t>
      </w:r>
      <w:r w:rsidRPr="00FB0360">
        <w:t xml:space="preserve"> silna negatywna korelacja między poziomem wykształcenia a niepełnosprawnością. Różnorodność w grupie osób z niepełnosprawnością, ze względu na typ, intensywność, przyczynę i trwałość niepełnosprawności, podkreśla potrzebę indywidualnego wsparcia i integracji w społeczeństwie, szczególnie na rynku pracy. W Europie rośnie </w:t>
      </w:r>
      <w:r>
        <w:t>poziom</w:t>
      </w:r>
      <w:r w:rsidRPr="00FB0360">
        <w:t xml:space="preserve"> niepełnosprawności, co wiąże się częściowo ze starzeniem się populacji, ale także ze wzrostem wśród młodych dorosłych oraz osób z wyższym wykształceniem</w:t>
      </w:r>
      <w:r>
        <w:t xml:space="preserve"> oraz upowszechnianiem się świadomości niepełnosprawności i traktowaniem jej w kategoriach problemów biologicznych</w:t>
      </w:r>
      <w:r w:rsidRPr="00FB0360">
        <w:t>.</w:t>
      </w:r>
    </w:p>
    <w:p w14:paraId="355F610E" w14:textId="1743276D" w:rsidR="00FB0360" w:rsidRPr="00266EEB" w:rsidRDefault="00FB0360" w:rsidP="00266EEB">
      <w:pPr>
        <w:pStyle w:val="Nagwek1"/>
        <w:spacing w:before="600" w:after="800"/>
        <w:rPr>
          <w:sz w:val="52"/>
          <w:szCs w:val="52"/>
        </w:rPr>
      </w:pPr>
      <w:bookmarkStart w:id="3" w:name="_Toc154758992"/>
      <w:r w:rsidRPr="00266EEB">
        <w:rPr>
          <w:sz w:val="52"/>
          <w:szCs w:val="52"/>
        </w:rPr>
        <w:t>Podsumowanie</w:t>
      </w:r>
      <w:bookmarkEnd w:id="3"/>
    </w:p>
    <w:p w14:paraId="35AFE07B" w14:textId="6ED864B0" w:rsidR="00FB0360" w:rsidRDefault="00266EEB" w:rsidP="00FB0360">
      <w:r>
        <w:t>A</w:t>
      </w:r>
      <w:r w:rsidRPr="00266EEB">
        <w:t xml:space="preserve">naliza sytuacji osób z niepełnosprawnościami na rynku pracy jest skomplikowana z powodu różnic w definicjach i </w:t>
      </w:r>
      <w:r>
        <w:t>podejściach badawczych</w:t>
      </w:r>
      <w:r w:rsidRPr="00266EEB">
        <w:t xml:space="preserve">. W Polsce, dane GUS z różnych badań wskazują na </w:t>
      </w:r>
      <w:r w:rsidRPr="00266EEB">
        <w:lastRenderedPageBreak/>
        <w:t>zróżnicowany obraz sytuacji osób</w:t>
      </w:r>
      <w:r>
        <w:t xml:space="preserve"> z niepełnosprawnościami</w:t>
      </w:r>
      <w:r w:rsidRPr="00266EEB">
        <w:t xml:space="preserve">, a brak </w:t>
      </w:r>
      <w:r>
        <w:t>jednego źródła danych</w:t>
      </w:r>
      <w:r w:rsidRPr="00266EEB">
        <w:t xml:space="preserve"> </w:t>
      </w:r>
      <w:r>
        <w:t>nie ułatwia badanie tego zjawiska</w:t>
      </w:r>
      <w:r w:rsidRPr="00266EEB">
        <w:t>. Rozumienie niepełnosprawności jako zmiennej koncepcji społecznej oraz różnice w postrzeganiu niepełnosprawności w różnych kulturach dodatkowo komplikują obraz sytuacji. Ważne jest, aby uwzględniać te różnice oraz indywidualne potrzeby osób z</w:t>
      </w:r>
      <w:r>
        <w:t> </w:t>
      </w:r>
      <w:r w:rsidRPr="00266EEB">
        <w:t>niepełnosprawnościami w planowaniu wsparcia i polityk włączenia społecznego, szczególnie na rynku pracy.</w:t>
      </w:r>
    </w:p>
    <w:p w14:paraId="3D6691CD" w14:textId="77777777" w:rsidR="00FB0360" w:rsidRDefault="00FB0360" w:rsidP="00FB0360"/>
    <w:sectPr w:rsidR="00FB0360" w:rsidSect="00C901ED"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5F2C" w14:textId="77777777" w:rsidR="00C901ED" w:rsidRDefault="00C901ED">
      <w:pPr>
        <w:spacing w:after="0" w:line="240" w:lineRule="auto"/>
      </w:pPr>
      <w:r>
        <w:separator/>
      </w:r>
    </w:p>
  </w:endnote>
  <w:endnote w:type="continuationSeparator" w:id="0">
    <w:p w14:paraId="779D514F" w14:textId="77777777" w:rsidR="00C901ED" w:rsidRDefault="00C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EB9" w14:textId="5ED75EDE" w:rsidR="00D355AE" w:rsidRDefault="00D355AE">
    <w:pPr>
      <w:pStyle w:val="Stopka"/>
    </w:pP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21051E0C" wp14:editId="605DF6D6">
          <wp:simplePos x="0" y="0"/>
          <wp:positionH relativeFrom="column">
            <wp:posOffset>4227830</wp:posOffset>
          </wp:positionH>
          <wp:positionV relativeFrom="paragraph">
            <wp:posOffset>-44450</wp:posOffset>
          </wp:positionV>
          <wp:extent cx="2023110" cy="652145"/>
          <wp:effectExtent l="0" t="0" r="0" b="0"/>
          <wp:wrapNone/>
          <wp:docPr id="8" name="Obraz 3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7941201B" wp14:editId="6D8D4A08">
          <wp:simplePos x="0" y="0"/>
          <wp:positionH relativeFrom="column">
            <wp:posOffset>1554480</wp:posOffset>
          </wp:positionH>
          <wp:positionV relativeFrom="paragraph">
            <wp:posOffset>-37465</wp:posOffset>
          </wp:positionV>
          <wp:extent cx="2221230" cy="652145"/>
          <wp:effectExtent l="0" t="0" r="0" b="0"/>
          <wp:wrapNone/>
          <wp:docPr id="5" name="Obraz 2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329628A6" wp14:editId="2263E678">
          <wp:simplePos x="0" y="0"/>
          <wp:positionH relativeFrom="column">
            <wp:posOffset>-989584</wp:posOffset>
          </wp:positionH>
          <wp:positionV relativeFrom="paragraph">
            <wp:posOffset>-44259</wp:posOffset>
          </wp:positionV>
          <wp:extent cx="1748162" cy="652229"/>
          <wp:effectExtent l="0" t="0" r="0" b="0"/>
          <wp:wrapNone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62" cy="65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EB03" w14:textId="77777777" w:rsidR="00C901ED" w:rsidRDefault="00C901ED">
      <w:pPr>
        <w:spacing w:after="0" w:line="240" w:lineRule="auto"/>
      </w:pPr>
      <w:r>
        <w:separator/>
      </w:r>
    </w:p>
  </w:footnote>
  <w:footnote w:type="continuationSeparator" w:id="0">
    <w:p w14:paraId="760EDC7F" w14:textId="77777777" w:rsidR="00C901ED" w:rsidRDefault="00C9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3F0" w14:textId="2E309A0D" w:rsidR="00D355AE" w:rsidRDefault="008C1765" w:rsidP="00284055">
    <w:pPr>
      <w:pStyle w:val="Nagwek"/>
      <w:jc w:val="center"/>
    </w:pPr>
    <w:r w:rsidRPr="008C1765">
      <w:rPr>
        <w:noProof/>
      </w:rPr>
      <w:drawing>
        <wp:inline distT="0" distB="0" distL="0" distR="0" wp14:anchorId="3C4572F4" wp14:editId="1F551BEF">
          <wp:extent cx="5093091" cy="1242770"/>
          <wp:effectExtent l="0" t="0" r="0" b="1905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072BB"/>
    <w:multiLevelType w:val="hybridMultilevel"/>
    <w:tmpl w:val="6CDA4470"/>
    <w:lvl w:ilvl="0" w:tplc="F13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6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1AD"/>
    <w:multiLevelType w:val="hybridMultilevel"/>
    <w:tmpl w:val="8E96B116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451B"/>
    <w:multiLevelType w:val="hybridMultilevel"/>
    <w:tmpl w:val="AB9C22B8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5D24"/>
    <w:multiLevelType w:val="hybridMultilevel"/>
    <w:tmpl w:val="E8E8C548"/>
    <w:lvl w:ilvl="0" w:tplc="E034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B4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9846">
    <w:abstractNumId w:val="9"/>
  </w:num>
  <w:num w:numId="2" w16cid:durableId="841968185">
    <w:abstractNumId w:val="12"/>
  </w:num>
  <w:num w:numId="3" w16cid:durableId="1541821109">
    <w:abstractNumId w:val="12"/>
  </w:num>
  <w:num w:numId="4" w16cid:durableId="345835766">
    <w:abstractNumId w:val="12"/>
  </w:num>
  <w:num w:numId="5" w16cid:durableId="1497719792">
    <w:abstractNumId w:val="12"/>
  </w:num>
  <w:num w:numId="6" w16cid:durableId="1723867202">
    <w:abstractNumId w:val="8"/>
  </w:num>
  <w:num w:numId="7" w16cid:durableId="770393810">
    <w:abstractNumId w:val="18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15"/>
  </w:num>
  <w:num w:numId="17" w16cid:durableId="834222573">
    <w:abstractNumId w:val="18"/>
  </w:num>
  <w:num w:numId="18" w16cid:durableId="726685999">
    <w:abstractNumId w:val="11"/>
  </w:num>
  <w:num w:numId="19" w16cid:durableId="276644214">
    <w:abstractNumId w:val="17"/>
  </w:num>
  <w:num w:numId="20" w16cid:durableId="2145460907">
    <w:abstractNumId w:val="18"/>
  </w:num>
  <w:num w:numId="21" w16cid:durableId="597758269">
    <w:abstractNumId w:val="18"/>
  </w:num>
  <w:num w:numId="22" w16cid:durableId="1857041394">
    <w:abstractNumId w:val="18"/>
  </w:num>
  <w:num w:numId="23" w16cid:durableId="1082871393">
    <w:abstractNumId w:val="18"/>
  </w:num>
  <w:num w:numId="24" w16cid:durableId="2014648638">
    <w:abstractNumId w:val="18"/>
  </w:num>
  <w:num w:numId="25" w16cid:durableId="17199636">
    <w:abstractNumId w:val="16"/>
  </w:num>
  <w:num w:numId="26" w16cid:durableId="471097370">
    <w:abstractNumId w:val="10"/>
  </w:num>
  <w:num w:numId="27" w16cid:durableId="1219168671">
    <w:abstractNumId w:val="14"/>
  </w:num>
  <w:num w:numId="28" w16cid:durableId="2911328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B4BB8"/>
    <w:rsid w:val="000E35E6"/>
    <w:rsid w:val="001157CF"/>
    <w:rsid w:val="00172FC9"/>
    <w:rsid w:val="001A3B9A"/>
    <w:rsid w:val="002129F2"/>
    <w:rsid w:val="00266EEB"/>
    <w:rsid w:val="00284055"/>
    <w:rsid w:val="002D47F0"/>
    <w:rsid w:val="00513676"/>
    <w:rsid w:val="00584B01"/>
    <w:rsid w:val="006A46BF"/>
    <w:rsid w:val="00763066"/>
    <w:rsid w:val="00816F0E"/>
    <w:rsid w:val="00843649"/>
    <w:rsid w:val="008779F8"/>
    <w:rsid w:val="008B27C2"/>
    <w:rsid w:val="008C1765"/>
    <w:rsid w:val="008C2C4F"/>
    <w:rsid w:val="00916026"/>
    <w:rsid w:val="00956B77"/>
    <w:rsid w:val="00976199"/>
    <w:rsid w:val="009D47CA"/>
    <w:rsid w:val="009E4642"/>
    <w:rsid w:val="00AE233F"/>
    <w:rsid w:val="00AF3720"/>
    <w:rsid w:val="00B832D7"/>
    <w:rsid w:val="00BC5796"/>
    <w:rsid w:val="00BC5FE8"/>
    <w:rsid w:val="00C901ED"/>
    <w:rsid w:val="00D355AE"/>
    <w:rsid w:val="00D86129"/>
    <w:rsid w:val="00DB3119"/>
    <w:rsid w:val="00DE33B7"/>
    <w:rsid w:val="00E85059"/>
    <w:rsid w:val="00E9361F"/>
    <w:rsid w:val="00FB0360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1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spacing w:before="120" w:after="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before="120" w:after="0"/>
      <w:ind w:left="240"/>
    </w:pPr>
    <w:rPr>
      <w:b/>
      <w:bCs/>
      <w:sz w:val="22"/>
      <w:szCs w:val="22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B4BB8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F3720"/>
    <w:pPr>
      <w:spacing w:after="0"/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F3720"/>
    <w:pPr>
      <w:spacing w:after="0"/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F3720"/>
    <w:pPr>
      <w:spacing w:after="0"/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F3720"/>
    <w:pPr>
      <w:spacing w:after="0"/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F3720"/>
    <w:pPr>
      <w:spacing w:after="0"/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F3720"/>
    <w:pPr>
      <w:spacing w:after="0"/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F3720"/>
    <w:pPr>
      <w:spacing w:after="0"/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88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7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72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nkocor/Library/Containers/com.microsoft.Word/Data/Library/Application%20Support/Microsoft/Office/16.0/DTS/pl-PL%7b4C51B2CD-5B09-9F4B-A8E4-310880A8EEE5%7d/%7bEE408DD1-7BDC-DA4A-ABAB-303611473472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9B144F8-67AF-8C42-83AA-19F5929F11CE}">
  <we:reference id="wa104178141" version="4.3.3.0" store="pl-PL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{EE408DD1-7BDC-DA4A-ABAB-303611473472}tf10002071.dotx</Template>
  <TotalTime>46</TotalTime>
  <Pages>9</Pages>
  <Words>1335</Words>
  <Characters>9041</Characters>
  <Application>Microsoft Office Word</Application>
  <DocSecurity>0</DocSecurity>
  <Lines>209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Marcin Kocór</cp:lastModifiedBy>
  <cp:revision>7</cp:revision>
  <dcterms:created xsi:type="dcterms:W3CDTF">2023-12-12T20:00:00Z</dcterms:created>
  <dcterms:modified xsi:type="dcterms:W3CDTF">2023-12-29T15:16:00Z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